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68D75" w14:textId="77777777" w:rsidR="00D16F2F" w:rsidRDefault="00CD14AC" w:rsidP="00CD14AC">
      <w:pPr>
        <w:pStyle w:val="MainText"/>
        <w:spacing w:line="240" w:lineRule="auto"/>
        <w:ind w:right="-285"/>
        <w:rPr>
          <w:rFonts w:ascii="Arial" w:hAnsi="Arial" w:cs="Arial"/>
          <w:b/>
          <w:szCs w:val="22"/>
        </w:rPr>
      </w:pPr>
      <w:bookmarkStart w:id="0" w:name="_GoBack"/>
      <w:bookmarkEnd w:id="0"/>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tab/>
      </w:r>
      <w:r>
        <w:rPr>
          <w:rFonts w:ascii="Arial" w:hAnsi="Arial" w:cs="Arial"/>
          <w:noProof/>
          <w:sz w:val="48"/>
          <w:szCs w:val="48"/>
        </w:rPr>
        <w:drawing>
          <wp:inline distT="0" distB="0" distL="0" distR="0" wp14:anchorId="4D615E86" wp14:editId="2B740FBA">
            <wp:extent cx="2334895" cy="13900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1390015"/>
                    </a:xfrm>
                    <a:prstGeom prst="rect">
                      <a:avLst/>
                    </a:prstGeom>
                    <a:noFill/>
                  </pic:spPr>
                </pic:pic>
              </a:graphicData>
            </a:graphic>
          </wp:inline>
        </w:drawing>
      </w:r>
    </w:p>
    <w:p w14:paraId="0DCD834B" w14:textId="77777777" w:rsidR="00CD14AC" w:rsidRPr="0021114E" w:rsidRDefault="00CD14AC" w:rsidP="00D16F2F">
      <w:pPr>
        <w:pStyle w:val="MainText"/>
        <w:spacing w:line="240" w:lineRule="auto"/>
        <w:rPr>
          <w:rFonts w:ascii="Arial" w:hAnsi="Arial" w:cs="Arial"/>
          <w:b/>
          <w:szCs w:val="22"/>
        </w:rPr>
      </w:pPr>
    </w:p>
    <w:p w14:paraId="20329A28" w14:textId="77777777" w:rsidR="00CD14AC" w:rsidRDefault="00CD14AC">
      <w:pPr>
        <w:spacing w:after="160" w:line="259" w:lineRule="auto"/>
        <w:rPr>
          <w:rFonts w:ascii="Arial" w:hAnsi="Arial" w:cs="Arial"/>
          <w:b/>
          <w:sz w:val="28"/>
          <w:szCs w:val="22"/>
        </w:rPr>
      </w:pPr>
    </w:p>
    <w:p w14:paraId="5050B610" w14:textId="77777777" w:rsidR="00CD14AC" w:rsidRDefault="00CD14AC" w:rsidP="00CD14AC">
      <w:pPr>
        <w:jc w:val="center"/>
        <w:rPr>
          <w:rFonts w:ascii="Arial" w:hAnsi="Arial" w:cs="Arial"/>
          <w:sz w:val="48"/>
          <w:szCs w:val="48"/>
        </w:rPr>
      </w:pPr>
    </w:p>
    <w:p w14:paraId="4365733B" w14:textId="77777777" w:rsidR="00CD14AC" w:rsidRDefault="00D21012" w:rsidP="00CD14AC">
      <w:pPr>
        <w:jc w:val="center"/>
        <w:rPr>
          <w:rFonts w:ascii="Arial" w:hAnsi="Arial" w:cs="Arial"/>
          <w:sz w:val="48"/>
          <w:szCs w:val="48"/>
        </w:rPr>
      </w:pPr>
      <w:r>
        <w:rPr>
          <w:rFonts w:ascii="Arial" w:hAnsi="Arial" w:cs="Arial"/>
          <w:sz w:val="48"/>
          <w:szCs w:val="48"/>
        </w:rPr>
        <w:t>DRAFT</w:t>
      </w:r>
    </w:p>
    <w:p w14:paraId="26027C19" w14:textId="77777777" w:rsidR="00CD14AC" w:rsidRDefault="00CD14AC" w:rsidP="00CD14AC">
      <w:pPr>
        <w:rPr>
          <w:rFonts w:ascii="Arial" w:hAnsi="Arial" w:cs="Arial"/>
          <w:sz w:val="48"/>
          <w:szCs w:val="48"/>
        </w:rPr>
      </w:pPr>
    </w:p>
    <w:p w14:paraId="485F8081" w14:textId="77777777" w:rsidR="00CD14AC" w:rsidRDefault="00CD14AC" w:rsidP="00CD14AC">
      <w:pPr>
        <w:jc w:val="center"/>
        <w:rPr>
          <w:rFonts w:ascii="Arial" w:hAnsi="Arial" w:cs="Arial"/>
          <w:sz w:val="48"/>
          <w:szCs w:val="48"/>
        </w:rPr>
      </w:pPr>
    </w:p>
    <w:p w14:paraId="12D1C243" w14:textId="77777777" w:rsidR="00CD14AC" w:rsidRDefault="00CD14AC" w:rsidP="00CD14AC">
      <w:pPr>
        <w:jc w:val="center"/>
        <w:rPr>
          <w:rFonts w:ascii="Arial" w:hAnsi="Arial" w:cs="Arial"/>
          <w:sz w:val="48"/>
          <w:szCs w:val="48"/>
        </w:rPr>
      </w:pPr>
    </w:p>
    <w:p w14:paraId="14163F50" w14:textId="77777777" w:rsidR="00CD14AC" w:rsidRDefault="00CD14AC" w:rsidP="00CD14AC">
      <w:pPr>
        <w:jc w:val="center"/>
        <w:rPr>
          <w:rFonts w:ascii="Arial" w:hAnsi="Arial" w:cs="Arial"/>
          <w:sz w:val="48"/>
          <w:szCs w:val="48"/>
        </w:rPr>
      </w:pPr>
    </w:p>
    <w:p w14:paraId="348791AB" w14:textId="77777777" w:rsidR="00CD14AC" w:rsidRPr="00B71E26" w:rsidRDefault="00CD14AC" w:rsidP="00CD14AC">
      <w:pPr>
        <w:jc w:val="center"/>
        <w:rPr>
          <w:rFonts w:ascii="Arial" w:hAnsi="Arial" w:cs="Arial"/>
          <w:sz w:val="48"/>
          <w:szCs w:val="48"/>
        </w:rPr>
      </w:pPr>
      <w:r>
        <w:rPr>
          <w:rFonts w:ascii="Arial" w:hAnsi="Arial" w:cs="Arial"/>
          <w:sz w:val="48"/>
          <w:szCs w:val="48"/>
        </w:rPr>
        <w:t>LGA</w:t>
      </w:r>
      <w:r w:rsidRPr="00B71E26">
        <w:rPr>
          <w:rFonts w:ascii="Arial" w:hAnsi="Arial" w:cs="Arial"/>
          <w:sz w:val="48"/>
          <w:szCs w:val="48"/>
        </w:rPr>
        <w:t xml:space="preserve"> Budget </w:t>
      </w:r>
    </w:p>
    <w:p w14:paraId="4FEC0A0A" w14:textId="77777777" w:rsidR="00CD14AC" w:rsidRDefault="00CD14AC" w:rsidP="00CD14AC">
      <w:pPr>
        <w:jc w:val="center"/>
        <w:rPr>
          <w:rFonts w:ascii="Arial" w:hAnsi="Arial" w:cs="Arial"/>
          <w:sz w:val="48"/>
          <w:szCs w:val="48"/>
        </w:rPr>
      </w:pPr>
      <w:r>
        <w:rPr>
          <w:rFonts w:ascii="Arial" w:hAnsi="Arial" w:cs="Arial"/>
          <w:sz w:val="48"/>
          <w:szCs w:val="48"/>
        </w:rPr>
        <w:t>2016 -17</w:t>
      </w:r>
    </w:p>
    <w:p w14:paraId="2D49EEF6" w14:textId="77777777" w:rsidR="00CD14AC" w:rsidRDefault="00CD14AC" w:rsidP="00CD14AC">
      <w:pPr>
        <w:jc w:val="center"/>
        <w:rPr>
          <w:rFonts w:ascii="Arial" w:hAnsi="Arial" w:cs="Arial"/>
          <w:sz w:val="48"/>
          <w:szCs w:val="48"/>
        </w:rPr>
      </w:pPr>
    </w:p>
    <w:p w14:paraId="0861183B" w14:textId="77777777" w:rsidR="00CD14AC" w:rsidRPr="00DA2414" w:rsidRDefault="00CD14AC" w:rsidP="00CD14AC">
      <w:pPr>
        <w:jc w:val="center"/>
        <w:rPr>
          <w:rFonts w:ascii="Arial" w:hAnsi="Arial" w:cs="Arial"/>
          <w:sz w:val="32"/>
          <w:szCs w:val="32"/>
        </w:rPr>
      </w:pPr>
      <w:r w:rsidRPr="00DA2414">
        <w:rPr>
          <w:rFonts w:ascii="Arial" w:hAnsi="Arial" w:cs="Arial"/>
          <w:sz w:val="32"/>
          <w:szCs w:val="32"/>
        </w:rPr>
        <w:t xml:space="preserve">for </w:t>
      </w:r>
      <w:r>
        <w:rPr>
          <w:rFonts w:ascii="Arial" w:hAnsi="Arial" w:cs="Arial"/>
          <w:sz w:val="32"/>
          <w:szCs w:val="32"/>
        </w:rPr>
        <w:t>Executive – 3rd March 201</w:t>
      </w:r>
      <w:r w:rsidR="007D076B">
        <w:rPr>
          <w:rFonts w:ascii="Arial" w:hAnsi="Arial" w:cs="Arial"/>
          <w:sz w:val="32"/>
          <w:szCs w:val="32"/>
        </w:rPr>
        <w:t>6</w:t>
      </w:r>
      <w:r w:rsidRPr="00DA2414">
        <w:rPr>
          <w:rFonts w:ascii="Arial" w:hAnsi="Arial" w:cs="Arial"/>
          <w:sz w:val="32"/>
          <w:szCs w:val="32"/>
        </w:rPr>
        <w:t xml:space="preserve"> </w:t>
      </w:r>
    </w:p>
    <w:p w14:paraId="0FEB4024" w14:textId="77777777" w:rsidR="00CD14AC" w:rsidRDefault="00CD14AC">
      <w:pPr>
        <w:spacing w:after="160" w:line="259" w:lineRule="auto"/>
        <w:rPr>
          <w:rFonts w:ascii="Arial" w:hAnsi="Arial" w:cs="Arial"/>
          <w:b/>
          <w:sz w:val="28"/>
          <w:szCs w:val="22"/>
        </w:rPr>
      </w:pPr>
    </w:p>
    <w:p w14:paraId="4F085B1A" w14:textId="77777777" w:rsidR="00D16F2F" w:rsidRDefault="00D16F2F">
      <w:pPr>
        <w:spacing w:after="160" w:line="259" w:lineRule="auto"/>
        <w:rPr>
          <w:rFonts w:ascii="Arial" w:hAnsi="Arial" w:cs="Arial"/>
          <w:b/>
          <w:sz w:val="28"/>
          <w:szCs w:val="22"/>
        </w:rPr>
      </w:pPr>
      <w:r>
        <w:rPr>
          <w:rFonts w:ascii="Arial" w:hAnsi="Arial" w:cs="Arial"/>
          <w:b/>
          <w:sz w:val="28"/>
          <w:szCs w:val="22"/>
        </w:rPr>
        <w:br w:type="page"/>
      </w:r>
    </w:p>
    <w:p w14:paraId="0E9BCCDD" w14:textId="77777777"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lastRenderedPageBreak/>
        <w:t>Summary</w:t>
      </w:r>
    </w:p>
    <w:p w14:paraId="0A0EFAA7" w14:textId="77777777" w:rsidR="00CD14AC" w:rsidRDefault="00CD14AC" w:rsidP="00CD14AC">
      <w:pPr>
        <w:pStyle w:val="ListParagraph"/>
        <w:numPr>
          <w:ilvl w:val="0"/>
          <w:numId w:val="1"/>
        </w:numPr>
        <w:rPr>
          <w:rFonts w:ascii="Arial" w:hAnsi="Arial" w:cs="Arial"/>
          <w:szCs w:val="22"/>
        </w:rPr>
      </w:pPr>
      <w:r w:rsidRPr="00CD14AC">
        <w:rPr>
          <w:rFonts w:ascii="Arial" w:hAnsi="Arial" w:cs="Arial"/>
          <w:szCs w:val="22"/>
        </w:rPr>
        <w:t>A consolidated budget has been developed for the LGA, the IDeA and the LGA’s property companies reflecting the full integration of the management and operations of these organisations</w:t>
      </w:r>
      <w:r w:rsidR="006E020E">
        <w:rPr>
          <w:rFonts w:ascii="Arial" w:hAnsi="Arial" w:cs="Arial"/>
          <w:szCs w:val="22"/>
        </w:rPr>
        <w:t>, in line with the</w:t>
      </w:r>
      <w:r w:rsidR="00B73AE0">
        <w:rPr>
          <w:rFonts w:ascii="Arial" w:hAnsi="Arial" w:cs="Arial"/>
          <w:szCs w:val="22"/>
        </w:rPr>
        <w:t xml:space="preserve"> 2016/17 3 year Financial Strategy agreed by the Leadership Board in January</w:t>
      </w:r>
      <w:r w:rsidRPr="00CD14AC">
        <w:rPr>
          <w:rFonts w:ascii="Arial" w:hAnsi="Arial" w:cs="Arial"/>
          <w:szCs w:val="22"/>
        </w:rPr>
        <w:t xml:space="preserve">. </w:t>
      </w:r>
    </w:p>
    <w:p w14:paraId="7BB28D44" w14:textId="77777777" w:rsidR="00B73AE0" w:rsidRPr="007D076B" w:rsidRDefault="00B73AE0" w:rsidP="007D076B">
      <w:pPr>
        <w:pStyle w:val="ListParagraph"/>
        <w:numPr>
          <w:ilvl w:val="0"/>
          <w:numId w:val="1"/>
        </w:numPr>
        <w:rPr>
          <w:rFonts w:ascii="Arial" w:hAnsi="Arial" w:cs="Arial"/>
          <w:szCs w:val="22"/>
        </w:rPr>
      </w:pPr>
      <w:r w:rsidRPr="007D076B">
        <w:rPr>
          <w:rFonts w:ascii="Arial" w:hAnsi="Arial" w:cs="Arial"/>
          <w:szCs w:val="22"/>
        </w:rPr>
        <w:t>In terms of annual income and expenditure the strategy assumes a gradual reduction in direct government funding of 20% over the next 3 years, a standstill for subscription fees (with no inflation increases), the maintenance of current service expenditure levels and increases in income for char</w:t>
      </w:r>
      <w:r w:rsidR="000F2D1C" w:rsidRPr="007D076B">
        <w:rPr>
          <w:rFonts w:ascii="Arial" w:hAnsi="Arial" w:cs="Arial"/>
          <w:szCs w:val="22"/>
        </w:rPr>
        <w:t>geable services to Councils</w:t>
      </w:r>
      <w:r w:rsidRPr="007D076B">
        <w:rPr>
          <w:rFonts w:ascii="Arial" w:hAnsi="Arial" w:cs="Arial"/>
          <w:szCs w:val="22"/>
        </w:rPr>
        <w:t xml:space="preserve"> and others</w:t>
      </w:r>
      <w:r w:rsidR="000F2D1C" w:rsidRPr="007D076B">
        <w:rPr>
          <w:rFonts w:ascii="Arial" w:hAnsi="Arial" w:cs="Arial"/>
          <w:szCs w:val="22"/>
        </w:rPr>
        <w:t>,</w:t>
      </w:r>
      <w:r w:rsidRPr="007D076B">
        <w:rPr>
          <w:rFonts w:ascii="Arial" w:hAnsi="Arial" w:cs="Arial"/>
          <w:szCs w:val="22"/>
        </w:rPr>
        <w:t xml:space="preserve"> from commercial rents and other sources to be developed via the commercial strategy.</w:t>
      </w:r>
    </w:p>
    <w:p w14:paraId="0BE2572D"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The 2016-17 budget has been driven by the strategy for the LGA and the priorities set out in the annual business plan. The business plan recognises that the high level priorities identified for the last four years are still broadly relevant for 2016-17. </w:t>
      </w:r>
    </w:p>
    <w:p w14:paraId="05371B5D" w14:textId="77777777" w:rsidR="00CD14AC" w:rsidRPr="00CD14AC" w:rsidRDefault="007027B9" w:rsidP="00CD14AC">
      <w:pPr>
        <w:pStyle w:val="ListParagraph"/>
        <w:numPr>
          <w:ilvl w:val="0"/>
          <w:numId w:val="1"/>
        </w:numPr>
        <w:rPr>
          <w:rFonts w:ascii="Arial" w:hAnsi="Arial" w:cs="Arial"/>
          <w:szCs w:val="22"/>
        </w:rPr>
      </w:pPr>
      <w:r>
        <w:rPr>
          <w:rFonts w:ascii="Arial" w:hAnsi="Arial" w:cs="Arial"/>
          <w:szCs w:val="22"/>
        </w:rPr>
        <w:t>In</w:t>
      </w:r>
      <w:r w:rsidR="00B73AE0">
        <w:rPr>
          <w:rFonts w:ascii="Arial" w:hAnsi="Arial" w:cs="Arial"/>
          <w:szCs w:val="22"/>
        </w:rPr>
        <w:t xml:space="preserve"> </w:t>
      </w:r>
      <w:r w:rsidR="00CD14AC" w:rsidRPr="00CD14AC">
        <w:rPr>
          <w:rFonts w:ascii="Arial" w:hAnsi="Arial" w:cs="Arial"/>
          <w:szCs w:val="22"/>
        </w:rPr>
        <w:t>2016-17 the LGA’s core funding is broadly at the same level as 2015-16 apart from a decrease of £</w:t>
      </w:r>
      <w:r w:rsidRPr="007027B9">
        <w:rPr>
          <w:rFonts w:ascii="Arial" w:hAnsi="Arial" w:cs="Arial"/>
          <w:szCs w:val="22"/>
        </w:rPr>
        <w:t>1.4</w:t>
      </w:r>
      <w:r w:rsidR="00CD14AC" w:rsidRPr="007027B9">
        <w:rPr>
          <w:rFonts w:ascii="Arial" w:hAnsi="Arial" w:cs="Arial"/>
          <w:szCs w:val="22"/>
        </w:rPr>
        <w:t>m in</w:t>
      </w:r>
      <w:r w:rsidR="00CD14AC" w:rsidRPr="00CD14AC">
        <w:rPr>
          <w:rFonts w:ascii="Arial" w:hAnsi="Arial" w:cs="Arial"/>
          <w:szCs w:val="22"/>
        </w:rPr>
        <w:t xml:space="preserve"> Direct Government Grant (Ex RSG </w:t>
      </w:r>
      <w:proofErr w:type="spellStart"/>
      <w:r w:rsidR="00CD14AC" w:rsidRPr="00CD14AC">
        <w:rPr>
          <w:rFonts w:ascii="Arial" w:hAnsi="Arial" w:cs="Arial"/>
          <w:szCs w:val="22"/>
        </w:rPr>
        <w:t>topslice</w:t>
      </w:r>
      <w:proofErr w:type="spellEnd"/>
      <w:r w:rsidR="00CD14AC" w:rsidRPr="00CD14AC">
        <w:rPr>
          <w:rFonts w:ascii="Arial" w:hAnsi="Arial" w:cs="Arial"/>
          <w:szCs w:val="22"/>
        </w:rPr>
        <w:t xml:space="preserve">) – about </w:t>
      </w:r>
      <w:r w:rsidRPr="007027B9">
        <w:rPr>
          <w:rFonts w:ascii="Arial" w:hAnsi="Arial" w:cs="Arial"/>
          <w:szCs w:val="22"/>
        </w:rPr>
        <w:t>4</w:t>
      </w:r>
      <w:r w:rsidR="00CD14AC" w:rsidRPr="007027B9">
        <w:rPr>
          <w:rFonts w:ascii="Arial" w:hAnsi="Arial" w:cs="Arial"/>
          <w:szCs w:val="22"/>
        </w:rPr>
        <w:t>%</w:t>
      </w:r>
      <w:r w:rsidR="00CD14AC" w:rsidRPr="00CD14AC">
        <w:rPr>
          <w:rFonts w:ascii="Arial" w:hAnsi="Arial" w:cs="Arial"/>
          <w:szCs w:val="22"/>
        </w:rPr>
        <w:t xml:space="preserve"> of turnover. </w:t>
      </w:r>
    </w:p>
    <w:p w14:paraId="2E21733D"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This reduction in </w:t>
      </w:r>
      <w:r>
        <w:rPr>
          <w:rFonts w:ascii="Arial" w:hAnsi="Arial" w:cs="Arial"/>
          <w:szCs w:val="22"/>
        </w:rPr>
        <w:t>funding as compared with 2015</w:t>
      </w:r>
      <w:r w:rsidRPr="00CD14AC">
        <w:rPr>
          <w:rFonts w:ascii="Arial" w:hAnsi="Arial" w:cs="Arial"/>
          <w:szCs w:val="22"/>
        </w:rPr>
        <w:t>/1</w:t>
      </w:r>
      <w:r>
        <w:rPr>
          <w:rFonts w:ascii="Arial" w:hAnsi="Arial" w:cs="Arial"/>
          <w:szCs w:val="22"/>
        </w:rPr>
        <w:t>6</w:t>
      </w:r>
      <w:r w:rsidRPr="00CD14AC">
        <w:rPr>
          <w:rFonts w:ascii="Arial" w:hAnsi="Arial" w:cs="Arial"/>
          <w:szCs w:val="22"/>
        </w:rPr>
        <w:t xml:space="preserve"> can be managed without adversely impacting on current staffing levels or operational budgets</w:t>
      </w:r>
      <w:r w:rsidR="00B73AE0">
        <w:rPr>
          <w:rFonts w:ascii="Arial" w:hAnsi="Arial" w:cs="Arial"/>
          <w:szCs w:val="22"/>
        </w:rPr>
        <w:t xml:space="preserve"> as a result of the significant overhead reductions in 2015/16</w:t>
      </w:r>
      <w:r w:rsidRPr="00CD14AC">
        <w:rPr>
          <w:rFonts w:ascii="Arial" w:hAnsi="Arial" w:cs="Arial"/>
          <w:szCs w:val="22"/>
        </w:rPr>
        <w:t>.</w:t>
      </w:r>
    </w:p>
    <w:p w14:paraId="544EA454" w14:textId="662FC0C3" w:rsidR="00CD14AC" w:rsidRPr="00F50C9D" w:rsidRDefault="00CD14AC" w:rsidP="00CD14AC">
      <w:pPr>
        <w:pStyle w:val="ListParagraph"/>
        <w:numPr>
          <w:ilvl w:val="0"/>
          <w:numId w:val="1"/>
        </w:numPr>
        <w:rPr>
          <w:rFonts w:ascii="Arial" w:hAnsi="Arial" w:cs="Arial"/>
          <w:szCs w:val="22"/>
        </w:rPr>
      </w:pPr>
      <w:r w:rsidRPr="00F50C9D">
        <w:rPr>
          <w:rFonts w:ascii="Arial" w:hAnsi="Arial" w:cs="Arial"/>
          <w:szCs w:val="22"/>
        </w:rPr>
        <w:t xml:space="preserve">The LGA’s financial </w:t>
      </w:r>
      <w:r w:rsidR="00C05DFE" w:rsidRPr="00F50C9D">
        <w:rPr>
          <w:rFonts w:ascii="Arial" w:hAnsi="Arial" w:cs="Arial"/>
          <w:szCs w:val="22"/>
        </w:rPr>
        <w:t>budget projections</w:t>
      </w:r>
      <w:r w:rsidR="00F01665" w:rsidRPr="00F50C9D">
        <w:rPr>
          <w:rFonts w:ascii="Arial" w:hAnsi="Arial" w:cs="Arial"/>
          <w:szCs w:val="22"/>
        </w:rPr>
        <w:t xml:space="preserve"> (Consolidated Summary)</w:t>
      </w:r>
      <w:r w:rsidRPr="00F50C9D">
        <w:rPr>
          <w:rFonts w:ascii="Arial" w:hAnsi="Arial" w:cs="Arial"/>
          <w:szCs w:val="22"/>
        </w:rPr>
        <w:t xml:space="preserve"> for the next </w:t>
      </w:r>
      <w:r w:rsidR="00C05DFE" w:rsidRPr="00F50C9D">
        <w:rPr>
          <w:rFonts w:ascii="Arial" w:hAnsi="Arial" w:cs="Arial"/>
          <w:szCs w:val="22"/>
        </w:rPr>
        <w:t>three</w:t>
      </w:r>
      <w:r w:rsidRPr="00F50C9D">
        <w:rPr>
          <w:rFonts w:ascii="Arial" w:hAnsi="Arial" w:cs="Arial"/>
          <w:szCs w:val="22"/>
        </w:rPr>
        <w:t xml:space="preserve"> years </w:t>
      </w:r>
      <w:r w:rsidR="00C05DFE" w:rsidRPr="00F50C9D">
        <w:rPr>
          <w:rFonts w:ascii="Arial" w:hAnsi="Arial" w:cs="Arial"/>
          <w:szCs w:val="22"/>
        </w:rPr>
        <w:t>are</w:t>
      </w:r>
      <w:r w:rsidRPr="00F50C9D">
        <w:rPr>
          <w:rFonts w:ascii="Arial" w:hAnsi="Arial" w:cs="Arial"/>
          <w:szCs w:val="22"/>
        </w:rPr>
        <w:t xml:space="preserve"> summarised at Appendix A; along with the budget for</w:t>
      </w:r>
      <w:r w:rsidR="00204CB6" w:rsidRPr="00F50C9D">
        <w:rPr>
          <w:rFonts w:ascii="Arial" w:hAnsi="Arial" w:cs="Arial"/>
          <w:szCs w:val="22"/>
        </w:rPr>
        <w:t xml:space="preserve"> each organisation at Appendix B</w:t>
      </w:r>
      <w:r w:rsidRPr="00F50C9D">
        <w:rPr>
          <w:rFonts w:ascii="Arial" w:hAnsi="Arial" w:cs="Arial"/>
          <w:szCs w:val="22"/>
        </w:rPr>
        <w:t xml:space="preserve">. </w:t>
      </w:r>
      <w:r w:rsidR="00204CB6" w:rsidRPr="00F50C9D">
        <w:rPr>
          <w:rFonts w:ascii="Arial" w:hAnsi="Arial" w:cs="Arial"/>
          <w:szCs w:val="22"/>
        </w:rPr>
        <w:t>Appendix C presents main risks to budget projections over the next 3 years. A</w:t>
      </w:r>
      <w:r w:rsidR="000F2D1C" w:rsidRPr="00F50C9D">
        <w:rPr>
          <w:rFonts w:ascii="Arial" w:hAnsi="Arial" w:cs="Arial"/>
          <w:szCs w:val="22"/>
        </w:rPr>
        <w:t xml:space="preserve">ppendix </w:t>
      </w:r>
      <w:r w:rsidR="00204CB6" w:rsidRPr="00F50C9D">
        <w:rPr>
          <w:rFonts w:ascii="Arial" w:hAnsi="Arial" w:cs="Arial"/>
          <w:szCs w:val="22"/>
        </w:rPr>
        <w:t>D</w:t>
      </w:r>
      <w:r w:rsidR="00C33D64" w:rsidRPr="00F50C9D">
        <w:rPr>
          <w:rFonts w:ascii="Arial" w:hAnsi="Arial" w:cs="Arial"/>
          <w:szCs w:val="22"/>
        </w:rPr>
        <w:t xml:space="preserve"> shows the </w:t>
      </w:r>
      <w:r w:rsidR="007D076B" w:rsidRPr="00F50C9D">
        <w:rPr>
          <w:rFonts w:ascii="Arial" w:hAnsi="Arial" w:cs="Arial"/>
          <w:szCs w:val="22"/>
        </w:rPr>
        <w:t xml:space="preserve">proposed </w:t>
      </w:r>
      <w:r w:rsidR="00D62AF7" w:rsidRPr="00F50C9D">
        <w:rPr>
          <w:rFonts w:ascii="Arial" w:hAnsi="Arial" w:cs="Arial"/>
          <w:szCs w:val="22"/>
        </w:rPr>
        <w:t>Service Level Agreement between the LGA and the IDeA</w:t>
      </w:r>
      <w:r w:rsidR="00204CB6" w:rsidRPr="00F50C9D">
        <w:rPr>
          <w:rFonts w:ascii="Arial" w:hAnsi="Arial" w:cs="Arial"/>
          <w:szCs w:val="22"/>
        </w:rPr>
        <w:t xml:space="preserve"> for 2016/17</w:t>
      </w:r>
      <w:r w:rsidR="00D62AF7" w:rsidRPr="00F50C9D">
        <w:rPr>
          <w:rFonts w:ascii="Arial" w:hAnsi="Arial" w:cs="Arial"/>
          <w:szCs w:val="22"/>
        </w:rPr>
        <w:t>.</w:t>
      </w:r>
    </w:p>
    <w:p w14:paraId="68031B0E" w14:textId="77777777" w:rsidR="00CD14AC" w:rsidRPr="00CD14AC" w:rsidRDefault="00CD14AC" w:rsidP="00CD14AC">
      <w:pPr>
        <w:rPr>
          <w:rFonts w:ascii="Arial" w:hAnsi="Arial" w:cs="Arial"/>
          <w:szCs w:val="22"/>
        </w:rPr>
      </w:pPr>
    </w:p>
    <w:p w14:paraId="5A31E18B" w14:textId="77777777"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t>Context</w:t>
      </w:r>
    </w:p>
    <w:p w14:paraId="46A67C32"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The economic situation has had direct consequences for the LGA’s finances:</w:t>
      </w:r>
    </w:p>
    <w:p w14:paraId="7BF756D0" w14:textId="6E2C50C6" w:rsidR="00CD14AC" w:rsidRPr="00204CB6" w:rsidRDefault="00CD14AC" w:rsidP="00204CB6">
      <w:pPr>
        <w:pStyle w:val="ListParagraph"/>
        <w:numPr>
          <w:ilvl w:val="2"/>
          <w:numId w:val="5"/>
        </w:numPr>
        <w:rPr>
          <w:rFonts w:ascii="Arial" w:hAnsi="Arial" w:cs="Arial"/>
          <w:szCs w:val="22"/>
        </w:rPr>
      </w:pPr>
      <w:r w:rsidRPr="00204CB6">
        <w:rPr>
          <w:rFonts w:ascii="Arial" w:hAnsi="Arial" w:cs="Arial"/>
          <w:szCs w:val="22"/>
        </w:rPr>
        <w:t xml:space="preserve">a </w:t>
      </w:r>
      <w:r w:rsidR="00204CB6" w:rsidRPr="00204CB6">
        <w:rPr>
          <w:rFonts w:ascii="Arial" w:hAnsi="Arial" w:cs="Arial"/>
          <w:szCs w:val="22"/>
        </w:rPr>
        <w:t xml:space="preserve">reduction </w:t>
      </w:r>
      <w:r w:rsidRPr="00204CB6">
        <w:rPr>
          <w:rFonts w:ascii="Arial" w:hAnsi="Arial" w:cs="Arial"/>
          <w:szCs w:val="22"/>
        </w:rPr>
        <w:t xml:space="preserve">in RSG </w:t>
      </w:r>
      <w:proofErr w:type="spellStart"/>
      <w:r w:rsidRPr="00204CB6">
        <w:rPr>
          <w:rFonts w:ascii="Arial" w:hAnsi="Arial" w:cs="Arial"/>
          <w:szCs w:val="22"/>
        </w:rPr>
        <w:t>topslice</w:t>
      </w:r>
      <w:proofErr w:type="spellEnd"/>
      <w:r w:rsidRPr="00204CB6">
        <w:rPr>
          <w:rFonts w:ascii="Arial" w:hAnsi="Arial" w:cs="Arial"/>
          <w:szCs w:val="22"/>
        </w:rPr>
        <w:t xml:space="preserve"> </w:t>
      </w:r>
      <w:r w:rsidR="00204CB6" w:rsidRPr="00204CB6">
        <w:rPr>
          <w:rFonts w:ascii="Arial" w:hAnsi="Arial" w:cs="Arial"/>
          <w:szCs w:val="22"/>
        </w:rPr>
        <w:t>by over 50 per cent in real terms from £41.3 million in 2010/11 to £23.4m in 2015/16.</w:t>
      </w:r>
    </w:p>
    <w:p w14:paraId="5ACA62CC" w14:textId="77777777" w:rsidR="00CD14AC" w:rsidRPr="00C05DFE" w:rsidRDefault="00CD14AC" w:rsidP="00C05DFE">
      <w:pPr>
        <w:pStyle w:val="ListParagraph"/>
        <w:numPr>
          <w:ilvl w:val="2"/>
          <w:numId w:val="5"/>
        </w:numPr>
        <w:rPr>
          <w:rFonts w:ascii="Arial" w:hAnsi="Arial" w:cs="Arial"/>
          <w:szCs w:val="22"/>
        </w:rPr>
      </w:pPr>
      <w:r w:rsidRPr="00C05DFE">
        <w:rPr>
          <w:rFonts w:ascii="Arial" w:hAnsi="Arial" w:cs="Arial"/>
          <w:szCs w:val="22"/>
        </w:rPr>
        <w:t>councils under pressure to reduce discretionary spending - including LGA subscriptions</w:t>
      </w:r>
    </w:p>
    <w:p w14:paraId="213D020E" w14:textId="77777777" w:rsidR="00CD14AC" w:rsidRPr="00C05DFE" w:rsidRDefault="00CD14AC" w:rsidP="00C05DFE">
      <w:pPr>
        <w:pStyle w:val="ListParagraph"/>
        <w:numPr>
          <w:ilvl w:val="2"/>
          <w:numId w:val="5"/>
        </w:numPr>
        <w:rPr>
          <w:rFonts w:ascii="Arial" w:hAnsi="Arial" w:cs="Arial"/>
          <w:szCs w:val="22"/>
        </w:rPr>
      </w:pPr>
      <w:r w:rsidRPr="00C05DFE">
        <w:rPr>
          <w:rFonts w:ascii="Arial" w:hAnsi="Arial" w:cs="Arial"/>
          <w:szCs w:val="22"/>
        </w:rPr>
        <w:t>a fall in demand for directly paid for services such as conferences and leadership programmes</w:t>
      </w:r>
    </w:p>
    <w:p w14:paraId="3C8493AD" w14:textId="77777777" w:rsidR="00CD14AC" w:rsidRPr="00C05DFE" w:rsidRDefault="00CD14AC" w:rsidP="00C05DFE">
      <w:pPr>
        <w:pStyle w:val="ListParagraph"/>
        <w:numPr>
          <w:ilvl w:val="2"/>
          <w:numId w:val="5"/>
        </w:numPr>
        <w:rPr>
          <w:rFonts w:ascii="Arial" w:hAnsi="Arial" w:cs="Arial"/>
          <w:szCs w:val="22"/>
        </w:rPr>
      </w:pPr>
      <w:r w:rsidRPr="00C05DFE">
        <w:rPr>
          <w:rFonts w:ascii="Arial" w:hAnsi="Arial" w:cs="Arial"/>
          <w:szCs w:val="22"/>
        </w:rPr>
        <w:t>interest rates at historically low levels, reducing our earnings on cash balances.</w:t>
      </w:r>
    </w:p>
    <w:p w14:paraId="45221D5A" w14:textId="2BEB853D" w:rsidR="00CD14AC" w:rsidRDefault="00CD14AC" w:rsidP="00CD14AC">
      <w:pPr>
        <w:pStyle w:val="ListParagraph"/>
        <w:numPr>
          <w:ilvl w:val="0"/>
          <w:numId w:val="1"/>
        </w:numPr>
        <w:rPr>
          <w:rFonts w:ascii="Arial" w:hAnsi="Arial" w:cs="Arial"/>
          <w:szCs w:val="22"/>
        </w:rPr>
      </w:pPr>
      <w:r w:rsidRPr="00CD14AC">
        <w:rPr>
          <w:rFonts w:ascii="Arial" w:hAnsi="Arial" w:cs="Arial"/>
          <w:szCs w:val="22"/>
        </w:rPr>
        <w:t>Along with concerns about pressures on income and expenditure over the medium term, the LGA faces particular challenges with regard to its pension funds. As with many hundreds of organisations in the public and private sectors, the LGA and its associated company the IDeA, are operating with significant pension deficits – valued at £70m as at March 2013 following the latest triennial valuation; and at £</w:t>
      </w:r>
      <w:r w:rsidR="00EC12E5">
        <w:rPr>
          <w:rFonts w:ascii="Arial" w:hAnsi="Arial" w:cs="Arial"/>
          <w:szCs w:val="22"/>
        </w:rPr>
        <w:t>113</w:t>
      </w:r>
      <w:r w:rsidRPr="00CD14AC">
        <w:rPr>
          <w:rFonts w:ascii="Arial" w:hAnsi="Arial" w:cs="Arial"/>
          <w:szCs w:val="22"/>
        </w:rPr>
        <w:t>m in the 201</w:t>
      </w:r>
      <w:r w:rsidR="00EC12E5">
        <w:rPr>
          <w:rFonts w:ascii="Arial" w:hAnsi="Arial" w:cs="Arial"/>
          <w:szCs w:val="22"/>
        </w:rPr>
        <w:t>4</w:t>
      </w:r>
      <w:r w:rsidRPr="00CD14AC">
        <w:rPr>
          <w:rFonts w:ascii="Arial" w:hAnsi="Arial" w:cs="Arial"/>
          <w:szCs w:val="22"/>
        </w:rPr>
        <w:t>/1</w:t>
      </w:r>
      <w:r w:rsidR="00EC12E5">
        <w:rPr>
          <w:rFonts w:ascii="Arial" w:hAnsi="Arial" w:cs="Arial"/>
          <w:szCs w:val="22"/>
        </w:rPr>
        <w:t>5</w:t>
      </w:r>
      <w:r w:rsidRPr="00CD14AC">
        <w:rPr>
          <w:rFonts w:ascii="Arial" w:hAnsi="Arial" w:cs="Arial"/>
          <w:szCs w:val="22"/>
        </w:rPr>
        <w:t xml:space="preserve"> financial accounts. The LGA is therefore focusing on increasing the value of its property assets – Local Government </w:t>
      </w:r>
      <w:r w:rsidRPr="00D62AF7">
        <w:rPr>
          <w:rFonts w:ascii="Arial" w:hAnsi="Arial" w:cs="Arial"/>
          <w:szCs w:val="22"/>
        </w:rPr>
        <w:t xml:space="preserve">House and Layden House </w:t>
      </w:r>
      <w:r w:rsidR="000F2D1C" w:rsidRPr="00D62AF7">
        <w:rPr>
          <w:rFonts w:ascii="Arial" w:hAnsi="Arial" w:cs="Arial"/>
          <w:szCs w:val="22"/>
        </w:rPr>
        <w:t xml:space="preserve">with a view to using the value of the </w:t>
      </w:r>
      <w:r w:rsidR="00D62AF7" w:rsidRPr="00D62AF7">
        <w:rPr>
          <w:rFonts w:ascii="Arial" w:hAnsi="Arial" w:cs="Arial"/>
          <w:szCs w:val="22"/>
        </w:rPr>
        <w:t>properties</w:t>
      </w:r>
      <w:r w:rsidR="000F2D1C" w:rsidRPr="00D62AF7">
        <w:rPr>
          <w:rFonts w:ascii="Arial" w:hAnsi="Arial" w:cs="Arial"/>
          <w:szCs w:val="22"/>
        </w:rPr>
        <w:t xml:space="preserve"> to help off</w:t>
      </w:r>
      <w:r w:rsidR="00D62AF7" w:rsidRPr="00D62AF7">
        <w:rPr>
          <w:rFonts w:ascii="Arial" w:hAnsi="Arial" w:cs="Arial"/>
          <w:szCs w:val="22"/>
        </w:rPr>
        <w:t>s</w:t>
      </w:r>
      <w:r w:rsidR="000F2D1C" w:rsidRPr="00D62AF7">
        <w:rPr>
          <w:rFonts w:ascii="Arial" w:hAnsi="Arial" w:cs="Arial"/>
          <w:szCs w:val="22"/>
        </w:rPr>
        <w:t>et the</w:t>
      </w:r>
      <w:r w:rsidR="000F2D1C">
        <w:rPr>
          <w:rFonts w:ascii="Arial" w:hAnsi="Arial" w:cs="Arial"/>
          <w:szCs w:val="22"/>
        </w:rPr>
        <w:t xml:space="preserve"> deficit and/or using rental income to fund additional </w:t>
      </w:r>
      <w:r w:rsidR="00D62AF7">
        <w:rPr>
          <w:rFonts w:ascii="Arial" w:hAnsi="Arial" w:cs="Arial"/>
          <w:szCs w:val="22"/>
        </w:rPr>
        <w:t>contributions.</w:t>
      </w:r>
    </w:p>
    <w:p w14:paraId="48CCE6CD" w14:textId="77777777" w:rsidR="00B665BF" w:rsidRDefault="00B665BF" w:rsidP="00CD14AC">
      <w:pPr>
        <w:pStyle w:val="MainText"/>
        <w:spacing w:line="240" w:lineRule="auto"/>
        <w:rPr>
          <w:rFonts w:ascii="Arial" w:hAnsi="Arial" w:cs="Arial"/>
          <w:b/>
          <w:szCs w:val="22"/>
        </w:rPr>
      </w:pPr>
    </w:p>
    <w:p w14:paraId="77BF2FE5" w14:textId="275352B4" w:rsidR="00CD14AC" w:rsidRDefault="00485B2A" w:rsidP="00CD14AC">
      <w:pPr>
        <w:pStyle w:val="MainText"/>
        <w:spacing w:line="240" w:lineRule="auto"/>
        <w:rPr>
          <w:rFonts w:ascii="Arial" w:hAnsi="Arial" w:cs="Arial"/>
          <w:b/>
          <w:szCs w:val="22"/>
        </w:rPr>
      </w:pPr>
      <w:r w:rsidRPr="00CD14AC">
        <w:rPr>
          <w:rFonts w:ascii="Arial" w:hAnsi="Arial" w:cs="Arial"/>
          <w:b/>
          <w:szCs w:val="22"/>
        </w:rPr>
        <w:t>2016-17 BUDGET PROPOSALS</w:t>
      </w:r>
      <w:r>
        <w:rPr>
          <w:rFonts w:ascii="Arial" w:hAnsi="Arial" w:cs="Arial"/>
          <w:b/>
          <w:szCs w:val="22"/>
        </w:rPr>
        <w:t xml:space="preserve"> – CONSOLIDATED SUMMARY – APPENDIX A </w:t>
      </w:r>
      <w:r>
        <w:rPr>
          <w:rFonts w:ascii="Arial" w:hAnsi="Arial" w:cs="Arial"/>
          <w:b/>
          <w:szCs w:val="22"/>
        </w:rPr>
        <w:br/>
        <w:t>- EXCLUDING INTERCOMPANY CHARGES</w:t>
      </w:r>
    </w:p>
    <w:p w14:paraId="37C6402A" w14:textId="3639BA5D" w:rsidR="00EC12E5" w:rsidRPr="00065F42" w:rsidRDefault="00EC12E5" w:rsidP="00EC12E5">
      <w:pPr>
        <w:pStyle w:val="ListParagraph"/>
        <w:numPr>
          <w:ilvl w:val="0"/>
          <w:numId w:val="1"/>
        </w:numPr>
        <w:rPr>
          <w:rFonts w:ascii="Arial" w:hAnsi="Arial" w:cs="Arial"/>
          <w:szCs w:val="22"/>
        </w:rPr>
      </w:pPr>
      <w:r w:rsidRPr="00065F42">
        <w:rPr>
          <w:rFonts w:ascii="Arial" w:hAnsi="Arial" w:cs="Arial"/>
          <w:szCs w:val="22"/>
        </w:rPr>
        <w:t>The LGA budget for 201</w:t>
      </w:r>
      <w:r w:rsidR="00204CB6" w:rsidRPr="00065F42">
        <w:rPr>
          <w:rFonts w:ascii="Arial" w:hAnsi="Arial" w:cs="Arial"/>
          <w:szCs w:val="22"/>
        </w:rPr>
        <w:t>6</w:t>
      </w:r>
      <w:r w:rsidRPr="00065F42">
        <w:rPr>
          <w:rFonts w:ascii="Arial" w:hAnsi="Arial" w:cs="Arial"/>
          <w:szCs w:val="22"/>
        </w:rPr>
        <w:t>/1</w:t>
      </w:r>
      <w:r w:rsidR="00204CB6" w:rsidRPr="00065F42">
        <w:rPr>
          <w:rFonts w:ascii="Arial" w:hAnsi="Arial" w:cs="Arial"/>
          <w:szCs w:val="22"/>
        </w:rPr>
        <w:t>7</w:t>
      </w:r>
      <w:r w:rsidRPr="00065F42">
        <w:rPr>
          <w:rFonts w:ascii="Arial" w:hAnsi="Arial" w:cs="Arial"/>
          <w:szCs w:val="22"/>
        </w:rPr>
        <w:t xml:space="preserve"> </w:t>
      </w:r>
      <w:r w:rsidR="00065F42" w:rsidRPr="00065F42">
        <w:rPr>
          <w:rFonts w:ascii="Arial" w:hAnsi="Arial" w:cs="Arial"/>
          <w:szCs w:val="22"/>
        </w:rPr>
        <w:t>and projections for the next 2 years have</w:t>
      </w:r>
      <w:r w:rsidRPr="00065F42">
        <w:rPr>
          <w:rFonts w:ascii="Arial" w:hAnsi="Arial" w:cs="Arial"/>
          <w:szCs w:val="22"/>
        </w:rPr>
        <w:t xml:space="preserve"> been prepared on the basis of the following key assumptions:</w:t>
      </w:r>
    </w:p>
    <w:p w14:paraId="11984539" w14:textId="0DF76624" w:rsidR="00404461" w:rsidRPr="00065F42" w:rsidRDefault="00065F42" w:rsidP="00404461">
      <w:pPr>
        <w:pStyle w:val="MainText"/>
        <w:numPr>
          <w:ilvl w:val="0"/>
          <w:numId w:val="7"/>
        </w:numPr>
        <w:spacing w:line="240" w:lineRule="auto"/>
        <w:rPr>
          <w:rFonts w:ascii="Arial" w:hAnsi="Arial" w:cs="Arial"/>
          <w:szCs w:val="22"/>
        </w:rPr>
      </w:pPr>
      <w:r w:rsidRPr="00065F42">
        <w:rPr>
          <w:rFonts w:ascii="Arial" w:hAnsi="Arial" w:cs="Arial"/>
          <w:szCs w:val="22"/>
        </w:rPr>
        <w:t xml:space="preserve">Direct Government Grant (replacing RSG) of £22.0m </w:t>
      </w:r>
    </w:p>
    <w:p w14:paraId="6716310B" w14:textId="5524B567" w:rsidR="00065F42" w:rsidRPr="00065F42" w:rsidRDefault="00065F42" w:rsidP="00404461">
      <w:pPr>
        <w:pStyle w:val="MainText"/>
        <w:numPr>
          <w:ilvl w:val="0"/>
          <w:numId w:val="7"/>
        </w:numPr>
        <w:spacing w:line="240" w:lineRule="auto"/>
        <w:rPr>
          <w:rFonts w:ascii="Arial" w:hAnsi="Arial" w:cs="Arial"/>
          <w:szCs w:val="22"/>
        </w:rPr>
      </w:pPr>
      <w:r w:rsidRPr="00065F42">
        <w:rPr>
          <w:rFonts w:ascii="Arial" w:hAnsi="Arial" w:cs="Arial"/>
          <w:szCs w:val="22"/>
        </w:rPr>
        <w:t>Additional new commercial income targets of £500k, rising by £500k per annum.</w:t>
      </w:r>
    </w:p>
    <w:p w14:paraId="5AAA5FA9" w14:textId="5DF5693E" w:rsidR="00065F42" w:rsidRPr="00065F42" w:rsidRDefault="00065F42" w:rsidP="00404461">
      <w:pPr>
        <w:pStyle w:val="MainText"/>
        <w:numPr>
          <w:ilvl w:val="0"/>
          <w:numId w:val="7"/>
        </w:numPr>
        <w:spacing w:line="240" w:lineRule="auto"/>
        <w:rPr>
          <w:rFonts w:ascii="Arial" w:hAnsi="Arial" w:cs="Arial"/>
          <w:szCs w:val="22"/>
        </w:rPr>
      </w:pPr>
      <w:r w:rsidRPr="00065F42">
        <w:rPr>
          <w:rFonts w:ascii="Arial" w:hAnsi="Arial" w:cs="Arial"/>
          <w:szCs w:val="22"/>
        </w:rPr>
        <w:lastRenderedPageBreak/>
        <w:t>Pension deficit repayments at current levels, including £1.0m for the LGA from 2017/18, because the last 3 years payments were made in a single payment in 2014/15.</w:t>
      </w:r>
    </w:p>
    <w:p w14:paraId="2AD350A2" w14:textId="793C6B96" w:rsidR="00065F42" w:rsidRPr="00065F42" w:rsidRDefault="00065F42" w:rsidP="00404461">
      <w:pPr>
        <w:pStyle w:val="MainText"/>
        <w:numPr>
          <w:ilvl w:val="0"/>
          <w:numId w:val="7"/>
        </w:numPr>
        <w:spacing w:line="240" w:lineRule="auto"/>
        <w:rPr>
          <w:rFonts w:ascii="Arial" w:hAnsi="Arial" w:cs="Arial"/>
          <w:szCs w:val="22"/>
        </w:rPr>
      </w:pPr>
      <w:r>
        <w:rPr>
          <w:rFonts w:ascii="Arial" w:hAnsi="Arial" w:cs="Arial"/>
          <w:szCs w:val="22"/>
        </w:rPr>
        <w:t>January targets for the timescales for delivering the property redevelopments.</w:t>
      </w:r>
    </w:p>
    <w:p w14:paraId="427B41A9" w14:textId="61DEC4DF" w:rsidR="00EC12E5" w:rsidRPr="008E7592" w:rsidRDefault="00EC12E5" w:rsidP="00656083">
      <w:pPr>
        <w:pStyle w:val="ListParagraph"/>
        <w:numPr>
          <w:ilvl w:val="0"/>
          <w:numId w:val="1"/>
        </w:numPr>
        <w:rPr>
          <w:rFonts w:ascii="Arial" w:hAnsi="Arial" w:cs="Arial"/>
          <w:szCs w:val="22"/>
        </w:rPr>
      </w:pPr>
      <w:r w:rsidRPr="008E7592">
        <w:rPr>
          <w:rFonts w:ascii="Arial" w:hAnsi="Arial" w:cs="Arial"/>
          <w:szCs w:val="22"/>
        </w:rPr>
        <w:t xml:space="preserve">The sections below describe </w:t>
      </w:r>
      <w:r w:rsidR="00622E8A" w:rsidRPr="008E7592">
        <w:rPr>
          <w:rFonts w:ascii="Arial" w:hAnsi="Arial" w:cs="Arial"/>
          <w:szCs w:val="22"/>
        </w:rPr>
        <w:t>each budget area in the</w:t>
      </w:r>
      <w:r w:rsidRPr="008E7592">
        <w:rPr>
          <w:rFonts w:ascii="Arial" w:hAnsi="Arial" w:cs="Arial"/>
          <w:szCs w:val="22"/>
        </w:rPr>
        <w:t xml:space="preserve"> light of the significant </w:t>
      </w:r>
      <w:r w:rsidR="00622E8A" w:rsidRPr="008E7592">
        <w:rPr>
          <w:rFonts w:ascii="Arial" w:hAnsi="Arial" w:cs="Arial"/>
          <w:szCs w:val="22"/>
        </w:rPr>
        <w:t xml:space="preserve">changes driven by the </w:t>
      </w:r>
      <w:r w:rsidR="00404461" w:rsidRPr="008E7592">
        <w:rPr>
          <w:rFonts w:ascii="Arial" w:hAnsi="Arial" w:cs="Arial"/>
          <w:szCs w:val="22"/>
        </w:rPr>
        <w:t xml:space="preserve">2015 </w:t>
      </w:r>
      <w:r w:rsidR="00622E8A" w:rsidRPr="008E7592">
        <w:rPr>
          <w:rFonts w:ascii="Arial" w:hAnsi="Arial" w:cs="Arial"/>
          <w:szCs w:val="22"/>
        </w:rPr>
        <w:t xml:space="preserve">Corporate </w:t>
      </w:r>
      <w:r w:rsidR="001912C9">
        <w:rPr>
          <w:rFonts w:ascii="Arial" w:hAnsi="Arial" w:cs="Arial"/>
          <w:szCs w:val="22"/>
        </w:rPr>
        <w:t>R</w:t>
      </w:r>
      <w:r w:rsidR="00622E8A" w:rsidRPr="008E7592">
        <w:rPr>
          <w:rFonts w:ascii="Arial" w:hAnsi="Arial" w:cs="Arial"/>
          <w:szCs w:val="22"/>
        </w:rPr>
        <w:t xml:space="preserve">estructuring programme </w:t>
      </w:r>
      <w:r w:rsidR="00404461" w:rsidRPr="008E7592">
        <w:rPr>
          <w:rFonts w:ascii="Arial" w:hAnsi="Arial" w:cs="Arial"/>
          <w:szCs w:val="22"/>
        </w:rPr>
        <w:t xml:space="preserve">and the further restructuring following the integration of ex Liberata staff into Corporate Services and Communications teams. </w:t>
      </w:r>
      <w:r w:rsidR="00404461" w:rsidRPr="008E7592">
        <w:rPr>
          <w:rFonts w:ascii="Arial" w:hAnsi="Arial" w:cs="Arial"/>
          <w:b/>
          <w:szCs w:val="22"/>
        </w:rPr>
        <w:t>All</w:t>
      </w:r>
      <w:r w:rsidR="00404461" w:rsidRPr="008E7592">
        <w:rPr>
          <w:rFonts w:ascii="Arial" w:hAnsi="Arial" w:cs="Arial"/>
          <w:szCs w:val="22"/>
        </w:rPr>
        <w:t xml:space="preserve"> of the savings identified </w:t>
      </w:r>
      <w:r w:rsidR="008E7592" w:rsidRPr="00685F99">
        <w:rPr>
          <w:rFonts w:ascii="Arial" w:hAnsi="Arial" w:cs="Arial"/>
          <w:szCs w:val="22"/>
        </w:rPr>
        <w:t>£</w:t>
      </w:r>
      <w:r w:rsidR="00685F99" w:rsidRPr="00685F99">
        <w:rPr>
          <w:rFonts w:ascii="Arial" w:hAnsi="Arial" w:cs="Arial"/>
          <w:szCs w:val="22"/>
        </w:rPr>
        <w:t>4.3</w:t>
      </w:r>
      <w:r w:rsidR="008E7592" w:rsidRPr="00685F99">
        <w:rPr>
          <w:rFonts w:ascii="Arial" w:hAnsi="Arial" w:cs="Arial"/>
          <w:szCs w:val="22"/>
        </w:rPr>
        <w:t>m</w:t>
      </w:r>
      <w:r w:rsidR="008E7592" w:rsidRPr="008E7592">
        <w:rPr>
          <w:rFonts w:ascii="Arial" w:hAnsi="Arial" w:cs="Arial"/>
          <w:szCs w:val="22"/>
        </w:rPr>
        <w:t xml:space="preserve"> </w:t>
      </w:r>
      <w:r w:rsidR="00404461" w:rsidRPr="008E7592">
        <w:rPr>
          <w:rFonts w:ascii="Arial" w:hAnsi="Arial" w:cs="Arial"/>
          <w:szCs w:val="22"/>
        </w:rPr>
        <w:t xml:space="preserve">are shown </w:t>
      </w:r>
      <w:r w:rsidR="00BD42FC">
        <w:rPr>
          <w:rFonts w:ascii="Arial" w:hAnsi="Arial" w:cs="Arial"/>
          <w:szCs w:val="22"/>
        </w:rPr>
        <w:t>against</w:t>
      </w:r>
      <w:r w:rsidR="00404461" w:rsidRPr="008E7592">
        <w:rPr>
          <w:rFonts w:ascii="Arial" w:hAnsi="Arial" w:cs="Arial"/>
          <w:szCs w:val="22"/>
        </w:rPr>
        <w:t xml:space="preserve"> the Corporate Services </w:t>
      </w:r>
      <w:r w:rsidR="00BD42FC">
        <w:rPr>
          <w:rFonts w:ascii="Arial" w:hAnsi="Arial" w:cs="Arial"/>
          <w:szCs w:val="22"/>
        </w:rPr>
        <w:t>budget</w:t>
      </w:r>
      <w:r w:rsidR="00404461" w:rsidRPr="008E7592">
        <w:rPr>
          <w:rFonts w:ascii="Arial" w:hAnsi="Arial" w:cs="Arial"/>
          <w:szCs w:val="22"/>
        </w:rPr>
        <w:t xml:space="preserve">. </w:t>
      </w:r>
      <w:r w:rsidR="00656083" w:rsidRPr="00656083">
        <w:rPr>
          <w:rFonts w:ascii="Arial" w:hAnsi="Arial" w:cs="Arial"/>
          <w:szCs w:val="22"/>
        </w:rPr>
        <w:t>However the savings were delivered across the whole staffing budget of the LGA. In addition a change intro</w:t>
      </w:r>
      <w:r w:rsidR="00656083">
        <w:rPr>
          <w:rFonts w:ascii="Arial" w:hAnsi="Arial" w:cs="Arial"/>
          <w:szCs w:val="22"/>
        </w:rPr>
        <w:t>d</w:t>
      </w:r>
      <w:r w:rsidR="00656083" w:rsidRPr="00656083">
        <w:rPr>
          <w:rFonts w:ascii="Arial" w:hAnsi="Arial" w:cs="Arial"/>
          <w:szCs w:val="22"/>
        </w:rPr>
        <w:t>uced during 2015/16 is that Communications service has taken over responsibility for Print and Design costs and staffing for the LGA. These ex Liberata costs were previously included in the Corporate Services budget.</w:t>
      </w:r>
    </w:p>
    <w:p w14:paraId="7C9D53D5" w14:textId="77777777" w:rsidR="007D076B" w:rsidRDefault="007D076B" w:rsidP="00CD14AC">
      <w:pPr>
        <w:pStyle w:val="MainText"/>
        <w:spacing w:line="240" w:lineRule="auto"/>
        <w:rPr>
          <w:rFonts w:ascii="Arial" w:hAnsi="Arial" w:cs="Arial"/>
          <w:b/>
          <w:szCs w:val="22"/>
        </w:rPr>
      </w:pPr>
    </w:p>
    <w:p w14:paraId="3AA60518" w14:textId="77777777" w:rsidR="007049A2" w:rsidRDefault="00312217" w:rsidP="00CD14AC">
      <w:pPr>
        <w:pStyle w:val="MainText"/>
        <w:spacing w:line="240" w:lineRule="auto"/>
        <w:rPr>
          <w:rFonts w:ascii="Arial" w:hAnsi="Arial" w:cs="Arial"/>
          <w:b/>
          <w:szCs w:val="22"/>
        </w:rPr>
      </w:pPr>
      <w:r>
        <w:rPr>
          <w:rFonts w:ascii="Arial" w:hAnsi="Arial" w:cs="Arial"/>
          <w:b/>
          <w:szCs w:val="22"/>
        </w:rPr>
        <w:t>WHAT WE DO?</w:t>
      </w:r>
    </w:p>
    <w:p w14:paraId="0E1E4728" w14:textId="6E0055CB" w:rsidR="00312217" w:rsidRPr="00215EAB" w:rsidRDefault="00312217" w:rsidP="00CD14AC">
      <w:pPr>
        <w:pStyle w:val="MainText"/>
        <w:spacing w:line="240" w:lineRule="auto"/>
        <w:rPr>
          <w:rFonts w:ascii="Arial" w:hAnsi="Arial" w:cs="Arial"/>
          <w:b/>
          <w:szCs w:val="22"/>
        </w:rPr>
      </w:pPr>
      <w:r w:rsidRPr="00215EAB">
        <w:rPr>
          <w:rFonts w:ascii="Arial" w:hAnsi="Arial" w:cs="Arial"/>
          <w:b/>
          <w:szCs w:val="22"/>
        </w:rPr>
        <w:t>Finance and Policy –</w:t>
      </w:r>
      <w:r w:rsidR="001912C9">
        <w:rPr>
          <w:rFonts w:ascii="Arial" w:hAnsi="Arial" w:cs="Arial"/>
          <w:b/>
          <w:szCs w:val="22"/>
        </w:rPr>
        <w:t xml:space="preserve"> </w:t>
      </w:r>
      <w:r w:rsidR="00215EAB" w:rsidRPr="00215EAB">
        <w:rPr>
          <w:rFonts w:ascii="Arial" w:hAnsi="Arial" w:cs="Arial"/>
          <w:b/>
          <w:szCs w:val="22"/>
        </w:rPr>
        <w:t>£5.</w:t>
      </w:r>
      <w:r w:rsidR="00D961C6">
        <w:rPr>
          <w:rFonts w:ascii="Arial" w:hAnsi="Arial" w:cs="Arial"/>
          <w:b/>
          <w:szCs w:val="22"/>
        </w:rPr>
        <w:t>2</w:t>
      </w:r>
      <w:r w:rsidR="00215EAB" w:rsidRPr="00215EAB">
        <w:rPr>
          <w:rFonts w:ascii="Arial" w:hAnsi="Arial" w:cs="Arial"/>
          <w:b/>
          <w:szCs w:val="22"/>
        </w:rPr>
        <w:t xml:space="preserve">m </w:t>
      </w:r>
      <w:r w:rsidR="00215EAB">
        <w:rPr>
          <w:rFonts w:ascii="Arial" w:hAnsi="Arial" w:cs="Arial"/>
          <w:b/>
          <w:szCs w:val="22"/>
        </w:rPr>
        <w:t>(Row 1)</w:t>
      </w:r>
    </w:p>
    <w:p w14:paraId="3A9C906A" w14:textId="07859F9A" w:rsidR="00312217" w:rsidRPr="00D678D4" w:rsidRDefault="00D961C6" w:rsidP="00D678D4">
      <w:pPr>
        <w:pStyle w:val="ListParagraph"/>
        <w:numPr>
          <w:ilvl w:val="0"/>
          <w:numId w:val="1"/>
        </w:numPr>
        <w:rPr>
          <w:rFonts w:ascii="Arial" w:hAnsi="Arial" w:cs="Arial"/>
          <w:szCs w:val="22"/>
        </w:rPr>
      </w:pPr>
      <w:r>
        <w:t xml:space="preserve">Finance and Policy Teams support the LGA’s boards to lead policy thinking and negotiate and lobby on behalf of member councils’ interests with Government and a wide range of partner organisations. We argue for adequate funding and for reforms which will strengthen local government and improve public services. We provide timely and relevant information to local government. Some improvement work is delivered for councils in need of support, based on business plan priorities. These will be reviewed in light of confirmation of Direct Government Grant for 2016-17. </w:t>
      </w:r>
      <w:r w:rsidR="00D678D4">
        <w:rPr>
          <w:rFonts w:ascii="Arial" w:hAnsi="Arial" w:cs="Arial"/>
          <w:szCs w:val="22"/>
        </w:rPr>
        <w:t>The budget requirement for 2016/17 remains broadly level following the transfer of £150k Children’s Improvement and Safeguarding activity to the Workforce, Leadership and Productivity team.</w:t>
      </w:r>
    </w:p>
    <w:p w14:paraId="33C06128" w14:textId="77777777" w:rsidR="007027B9" w:rsidRPr="007027B9" w:rsidRDefault="007027B9" w:rsidP="007027B9">
      <w:pPr>
        <w:rPr>
          <w:rFonts w:ascii="Arial" w:hAnsi="Arial" w:cs="Arial"/>
          <w:i/>
          <w:szCs w:val="22"/>
        </w:rPr>
      </w:pPr>
    </w:p>
    <w:p w14:paraId="765C0FE6" w14:textId="13968043" w:rsidR="00312217" w:rsidRPr="00215EAB" w:rsidRDefault="00312217" w:rsidP="00312217">
      <w:pPr>
        <w:pStyle w:val="MainText"/>
        <w:rPr>
          <w:rFonts w:ascii="Arial" w:hAnsi="Arial" w:cs="Arial"/>
          <w:b/>
          <w:szCs w:val="22"/>
        </w:rPr>
      </w:pPr>
      <w:r w:rsidRPr="00215EAB">
        <w:rPr>
          <w:rFonts w:ascii="Arial" w:hAnsi="Arial" w:cs="Arial"/>
          <w:b/>
          <w:szCs w:val="22"/>
        </w:rPr>
        <w:t>Workforce, Leadership &amp; Productivity</w:t>
      </w:r>
      <w:r w:rsidR="00215EAB" w:rsidRPr="00215EAB">
        <w:rPr>
          <w:rFonts w:ascii="Arial" w:hAnsi="Arial" w:cs="Arial"/>
          <w:b/>
          <w:szCs w:val="22"/>
        </w:rPr>
        <w:t xml:space="preserve"> –</w:t>
      </w:r>
      <w:r w:rsidR="001912C9">
        <w:rPr>
          <w:rFonts w:ascii="Arial" w:hAnsi="Arial" w:cs="Arial"/>
          <w:b/>
          <w:szCs w:val="22"/>
        </w:rPr>
        <w:t xml:space="preserve"> </w:t>
      </w:r>
      <w:r w:rsidR="00685F99">
        <w:rPr>
          <w:rFonts w:ascii="Arial" w:hAnsi="Arial" w:cs="Arial"/>
          <w:b/>
          <w:szCs w:val="22"/>
        </w:rPr>
        <w:t>12.7</w:t>
      </w:r>
      <w:r w:rsidR="00215EAB" w:rsidRPr="00215EAB">
        <w:rPr>
          <w:rFonts w:ascii="Arial" w:hAnsi="Arial" w:cs="Arial"/>
          <w:b/>
          <w:szCs w:val="22"/>
        </w:rPr>
        <w:t>m</w:t>
      </w:r>
      <w:r w:rsidR="00215EAB">
        <w:rPr>
          <w:rFonts w:ascii="Arial" w:hAnsi="Arial" w:cs="Arial"/>
          <w:b/>
          <w:szCs w:val="22"/>
        </w:rPr>
        <w:t xml:space="preserve"> (Row 2)</w:t>
      </w:r>
    </w:p>
    <w:p w14:paraId="5D4769F7" w14:textId="77777777"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These teams provide a wide range of work to support councils through the work on sector led improvement.  This includes the peer challenge programme, our political leadership programmes and our support to councils to become more efficient.  In addition, it includes the work of our pay and workforce teams.  The increased costs are largely due to pay awards and increments together with a transfer from Finance and Policy of £150,000 in respect of the work to support children’s improvement and safeguarding.</w:t>
      </w:r>
    </w:p>
    <w:p w14:paraId="3738DF86" w14:textId="2672FAB9" w:rsidR="007027B9" w:rsidRPr="003B60F3" w:rsidRDefault="00312217" w:rsidP="003B60F3">
      <w:pPr>
        <w:pStyle w:val="MainText"/>
        <w:rPr>
          <w:rFonts w:ascii="Arial" w:hAnsi="Arial" w:cs="Arial"/>
          <w:b/>
          <w:szCs w:val="22"/>
        </w:rPr>
      </w:pPr>
      <w:r w:rsidRPr="00215EAB">
        <w:rPr>
          <w:rFonts w:ascii="Arial" w:hAnsi="Arial" w:cs="Arial"/>
          <w:b/>
          <w:szCs w:val="22"/>
        </w:rPr>
        <w:t>Communications</w:t>
      </w:r>
      <w:r w:rsidR="00215EAB">
        <w:rPr>
          <w:rFonts w:ascii="Arial" w:hAnsi="Arial" w:cs="Arial"/>
          <w:b/>
          <w:szCs w:val="22"/>
        </w:rPr>
        <w:t xml:space="preserve"> –</w:t>
      </w:r>
      <w:r w:rsidR="001912C9">
        <w:rPr>
          <w:rFonts w:ascii="Arial" w:hAnsi="Arial" w:cs="Arial"/>
          <w:b/>
          <w:szCs w:val="22"/>
        </w:rPr>
        <w:t xml:space="preserve"> </w:t>
      </w:r>
      <w:r w:rsidR="00215EAB">
        <w:rPr>
          <w:rFonts w:ascii="Arial" w:hAnsi="Arial" w:cs="Arial"/>
          <w:b/>
          <w:szCs w:val="22"/>
        </w:rPr>
        <w:t>£2.9m (Row 3)</w:t>
      </w:r>
    </w:p>
    <w:p w14:paraId="1A83D843" w14:textId="30766B33"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The Corporate Communications Service contributes to the organisation’s key strategic objectives by providing professional communications support.  The overall key function is to ensure local government has a strong national voice to manage local government’s reputation and campaign for and on behalf of councils.  In addition we work across local government to share best practice to improve the quality and standard of public sector communications.  This is delivered through best practice publications, on-line resources, promoting policy guidance and delivering best practice events.</w:t>
      </w:r>
    </w:p>
    <w:p w14:paraId="26C932F0" w14:textId="38B84090"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 xml:space="preserve">Our core offer is based on what our members tell us they want from the LGA and to deliver the support offer.  We provide professional support through the delivery of integrated communications which is based on the corporate and board priorities. </w:t>
      </w:r>
    </w:p>
    <w:p w14:paraId="0530DE8C" w14:textId="433A81E6"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In 2015/16, as part of the corporate-wide work to reduce costs and increase income, significant savings were made as part of the Liberata contract, including re-structuring and closure of the print room.  Additional income was delivered through conferences and events, sponsorship and by undertaking additional paid-for work.  These savings are included in the overall Central Services savings totals set out in this report.</w:t>
      </w:r>
    </w:p>
    <w:p w14:paraId="41A19F91" w14:textId="36465928"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 xml:space="preserve">Following termination of the Liberata contract, a range of services were transferred to the Communications Team.  For 2016/17, staffing and other budgets have been realigned to reflect the transfer of staff into the communications team. The corporate printing budget has </w:t>
      </w:r>
      <w:r w:rsidRPr="00D961C6">
        <w:rPr>
          <w:rFonts w:ascii="Arial" w:hAnsi="Arial" w:cs="Arial"/>
          <w:szCs w:val="22"/>
        </w:rPr>
        <w:lastRenderedPageBreak/>
        <w:t>also been transferred and will be managed by the team on behalf of the whole organisation, with the aim of further reducing costs.</w:t>
      </w:r>
    </w:p>
    <w:p w14:paraId="138F7906" w14:textId="38F40057" w:rsidR="00D961C6" w:rsidRPr="00D961C6" w:rsidRDefault="00D961C6" w:rsidP="00D961C6">
      <w:pPr>
        <w:pStyle w:val="ListParagraph"/>
        <w:numPr>
          <w:ilvl w:val="0"/>
          <w:numId w:val="1"/>
        </w:numPr>
        <w:rPr>
          <w:rFonts w:ascii="Arial" w:hAnsi="Arial" w:cs="Arial"/>
          <w:szCs w:val="22"/>
        </w:rPr>
      </w:pPr>
      <w:r w:rsidRPr="00D961C6">
        <w:rPr>
          <w:rFonts w:ascii="Arial" w:hAnsi="Arial" w:cs="Arial"/>
          <w:szCs w:val="22"/>
        </w:rPr>
        <w:t xml:space="preserve">In addition, this is a year (we receive the income every other year) when the organisation does not take any income from the NCAS conference, reducing our income for the year. </w:t>
      </w:r>
    </w:p>
    <w:p w14:paraId="4DC9E10F" w14:textId="6342A2B3" w:rsidR="00D961C6" w:rsidRDefault="00D961C6" w:rsidP="00D961C6">
      <w:pPr>
        <w:pStyle w:val="ListParagraph"/>
        <w:numPr>
          <w:ilvl w:val="0"/>
          <w:numId w:val="1"/>
        </w:numPr>
        <w:rPr>
          <w:rFonts w:ascii="Arial" w:hAnsi="Arial" w:cs="Arial"/>
          <w:szCs w:val="22"/>
        </w:rPr>
      </w:pPr>
      <w:r w:rsidRPr="00D961C6">
        <w:rPr>
          <w:rFonts w:ascii="Arial" w:hAnsi="Arial" w:cs="Arial"/>
          <w:szCs w:val="22"/>
        </w:rPr>
        <w:t>Additional budgets have been allocated to re-develop our website, which is currently not fit-for-purpose and to offset additional costs of hiring external rooms for events and conference during the refurbishment of Local Government House.</w:t>
      </w:r>
    </w:p>
    <w:p w14:paraId="079A9616" w14:textId="17AD5A21" w:rsidR="003D7751" w:rsidRPr="00CD14AC" w:rsidRDefault="003D7751" w:rsidP="003D7751">
      <w:pPr>
        <w:pStyle w:val="MainText"/>
        <w:spacing w:line="240" w:lineRule="auto"/>
        <w:rPr>
          <w:rFonts w:ascii="Arial" w:hAnsi="Arial" w:cs="Arial"/>
          <w:b/>
          <w:szCs w:val="22"/>
        </w:rPr>
      </w:pPr>
      <w:r w:rsidRPr="00CD14AC">
        <w:rPr>
          <w:rFonts w:ascii="Arial" w:hAnsi="Arial" w:cs="Arial"/>
          <w:b/>
          <w:szCs w:val="22"/>
        </w:rPr>
        <w:t>Grants t</w:t>
      </w:r>
      <w:r w:rsidR="009E5733">
        <w:rPr>
          <w:rFonts w:ascii="Arial" w:hAnsi="Arial" w:cs="Arial"/>
          <w:b/>
          <w:szCs w:val="22"/>
        </w:rPr>
        <w:t>o other bodies –</w:t>
      </w:r>
      <w:r w:rsidR="001912C9">
        <w:rPr>
          <w:rFonts w:ascii="Arial" w:hAnsi="Arial" w:cs="Arial"/>
          <w:b/>
          <w:szCs w:val="22"/>
        </w:rPr>
        <w:t xml:space="preserve"> </w:t>
      </w:r>
      <w:r w:rsidR="009E5733">
        <w:rPr>
          <w:rFonts w:ascii="Arial" w:hAnsi="Arial" w:cs="Arial"/>
          <w:b/>
          <w:szCs w:val="22"/>
        </w:rPr>
        <w:t>£1.5</w:t>
      </w:r>
      <w:r w:rsidRPr="00CD14AC">
        <w:rPr>
          <w:rFonts w:ascii="Arial" w:hAnsi="Arial" w:cs="Arial"/>
          <w:b/>
          <w:szCs w:val="22"/>
        </w:rPr>
        <w:t>m</w:t>
      </w:r>
      <w:r>
        <w:rPr>
          <w:rFonts w:ascii="Arial" w:hAnsi="Arial" w:cs="Arial"/>
          <w:b/>
          <w:szCs w:val="22"/>
        </w:rPr>
        <w:t xml:space="preserve"> (Row 4)</w:t>
      </w:r>
    </w:p>
    <w:p w14:paraId="507C8A48" w14:textId="4335ED54" w:rsidR="003D7751" w:rsidRPr="00620D41" w:rsidRDefault="00C5034E" w:rsidP="003D7751">
      <w:pPr>
        <w:pStyle w:val="ListParagraph"/>
        <w:numPr>
          <w:ilvl w:val="0"/>
          <w:numId w:val="1"/>
        </w:numPr>
        <w:rPr>
          <w:rFonts w:ascii="Arial" w:hAnsi="Arial" w:cs="Arial"/>
          <w:szCs w:val="22"/>
        </w:rPr>
      </w:pPr>
      <w:r>
        <w:rPr>
          <w:rFonts w:ascii="Arial" w:hAnsi="Arial" w:cs="Arial"/>
          <w:szCs w:val="22"/>
        </w:rPr>
        <w:t>G</w:t>
      </w:r>
      <w:r w:rsidR="003D7751" w:rsidRPr="00CD14AC">
        <w:rPr>
          <w:rFonts w:ascii="Arial" w:hAnsi="Arial" w:cs="Arial"/>
          <w:szCs w:val="22"/>
        </w:rPr>
        <w:t xml:space="preserve">rants to other organisations </w:t>
      </w:r>
      <w:r>
        <w:rPr>
          <w:rFonts w:ascii="Arial" w:hAnsi="Arial" w:cs="Arial"/>
          <w:szCs w:val="22"/>
        </w:rPr>
        <w:t>relates support</w:t>
      </w:r>
      <w:r w:rsidR="003D7751" w:rsidRPr="00CD14AC">
        <w:rPr>
          <w:rFonts w:ascii="Arial" w:hAnsi="Arial" w:cs="Arial"/>
          <w:szCs w:val="22"/>
        </w:rPr>
        <w:t xml:space="preserve"> for Local Partnerships</w:t>
      </w:r>
      <w:r>
        <w:rPr>
          <w:rFonts w:ascii="Arial" w:hAnsi="Arial" w:cs="Arial"/>
          <w:szCs w:val="22"/>
        </w:rPr>
        <w:t xml:space="preserve"> and</w:t>
      </w:r>
      <w:r w:rsidR="003D7751" w:rsidRPr="00CD14AC">
        <w:rPr>
          <w:rFonts w:ascii="Arial" w:hAnsi="Arial" w:cs="Arial"/>
          <w:szCs w:val="22"/>
        </w:rPr>
        <w:t xml:space="preserve"> Centre for Public Scrutiny (</w:t>
      </w:r>
      <w:proofErr w:type="spellStart"/>
      <w:r w:rsidR="003D7751" w:rsidRPr="00CD14AC">
        <w:rPr>
          <w:rFonts w:ascii="Arial" w:hAnsi="Arial" w:cs="Arial"/>
          <w:szCs w:val="22"/>
        </w:rPr>
        <w:t>CfPS</w:t>
      </w:r>
      <w:proofErr w:type="spellEnd"/>
      <w:r w:rsidR="003D7751" w:rsidRPr="00CD14AC">
        <w:rPr>
          <w:rFonts w:ascii="Arial" w:hAnsi="Arial" w:cs="Arial"/>
          <w:szCs w:val="22"/>
        </w:rPr>
        <w:t xml:space="preserve">). </w:t>
      </w:r>
      <w:r>
        <w:rPr>
          <w:rFonts w:ascii="Arial" w:hAnsi="Arial" w:cs="Arial"/>
          <w:szCs w:val="22"/>
        </w:rPr>
        <w:t xml:space="preserve">These </w:t>
      </w:r>
      <w:r w:rsidR="003D7751" w:rsidRPr="00CD14AC">
        <w:rPr>
          <w:rFonts w:ascii="Arial" w:hAnsi="Arial" w:cs="Arial"/>
          <w:szCs w:val="22"/>
        </w:rPr>
        <w:t xml:space="preserve">grants </w:t>
      </w:r>
      <w:r>
        <w:rPr>
          <w:rFonts w:ascii="Arial" w:hAnsi="Arial" w:cs="Arial"/>
          <w:szCs w:val="22"/>
        </w:rPr>
        <w:t>will</w:t>
      </w:r>
      <w:r w:rsidR="003D7751" w:rsidRPr="00CD14AC">
        <w:rPr>
          <w:rFonts w:ascii="Arial" w:hAnsi="Arial" w:cs="Arial"/>
          <w:szCs w:val="22"/>
        </w:rPr>
        <w:t xml:space="preserve"> funded out </w:t>
      </w:r>
      <w:r w:rsidR="003D7751" w:rsidRPr="00620D41">
        <w:rPr>
          <w:rFonts w:ascii="Arial" w:hAnsi="Arial" w:cs="Arial"/>
          <w:szCs w:val="22"/>
        </w:rPr>
        <w:t>of DCLG Direct Grant for Improvement works on behalf of Local Government.</w:t>
      </w:r>
      <w:r w:rsidR="00762AB3">
        <w:rPr>
          <w:rFonts w:ascii="Arial" w:hAnsi="Arial" w:cs="Arial"/>
          <w:szCs w:val="22"/>
        </w:rPr>
        <w:t xml:space="preserve"> If the grant we are seeking is lower than the amount we </w:t>
      </w:r>
      <w:r w:rsidR="00F8280D">
        <w:rPr>
          <w:rFonts w:ascii="Arial" w:hAnsi="Arial" w:cs="Arial"/>
          <w:szCs w:val="22"/>
        </w:rPr>
        <w:t>receive</w:t>
      </w:r>
      <w:r w:rsidR="00762AB3">
        <w:rPr>
          <w:rFonts w:ascii="Arial" w:hAnsi="Arial" w:cs="Arial"/>
          <w:szCs w:val="22"/>
        </w:rPr>
        <w:t xml:space="preserve"> this is likely to mean further reductions in this total amount. Once we have received notification from DCLG the final contribution to the other bodies will be confirmed to them. </w:t>
      </w:r>
    </w:p>
    <w:p w14:paraId="6883019D" w14:textId="0FC34BC1" w:rsidR="00312217" w:rsidRPr="00215EAB" w:rsidRDefault="00312217" w:rsidP="00312217">
      <w:pPr>
        <w:pStyle w:val="MainText"/>
        <w:rPr>
          <w:rFonts w:ascii="Arial" w:hAnsi="Arial" w:cs="Arial"/>
          <w:b/>
          <w:szCs w:val="22"/>
        </w:rPr>
      </w:pPr>
      <w:r w:rsidRPr="00215EAB">
        <w:rPr>
          <w:rFonts w:ascii="Arial" w:hAnsi="Arial" w:cs="Arial"/>
          <w:b/>
          <w:szCs w:val="22"/>
        </w:rPr>
        <w:t>Member Services</w:t>
      </w:r>
      <w:r w:rsidR="00215EAB">
        <w:rPr>
          <w:rFonts w:ascii="Arial" w:hAnsi="Arial" w:cs="Arial"/>
          <w:b/>
          <w:szCs w:val="22"/>
        </w:rPr>
        <w:t xml:space="preserve"> –£1.4m (Row 5)</w:t>
      </w:r>
    </w:p>
    <w:p w14:paraId="04E1E1C5" w14:textId="4453DC42" w:rsidR="00620D41" w:rsidRPr="00810BBC" w:rsidRDefault="00810BBC" w:rsidP="00810BBC">
      <w:pPr>
        <w:pStyle w:val="ListParagraph"/>
        <w:numPr>
          <w:ilvl w:val="0"/>
          <w:numId w:val="1"/>
        </w:numPr>
        <w:rPr>
          <w:rFonts w:ascii="Arial" w:hAnsi="Arial" w:cs="Arial"/>
          <w:szCs w:val="22"/>
        </w:rPr>
      </w:pPr>
      <w:r w:rsidRPr="00810BBC">
        <w:rPr>
          <w:rFonts w:ascii="Arial" w:hAnsi="Arial" w:cs="Arial"/>
          <w:szCs w:val="22"/>
        </w:rPr>
        <w:t xml:space="preserve">The Member services team </w:t>
      </w:r>
      <w:r>
        <w:rPr>
          <w:rFonts w:ascii="Arial" w:hAnsi="Arial" w:cs="Arial"/>
          <w:szCs w:val="22"/>
        </w:rPr>
        <w:t xml:space="preserve">provides </w:t>
      </w:r>
      <w:r w:rsidRPr="00810BBC">
        <w:rPr>
          <w:rFonts w:ascii="Arial" w:hAnsi="Arial" w:cs="Arial"/>
          <w:szCs w:val="22"/>
        </w:rPr>
        <w:t>secretariat services to support and co-ordinate the LGA's Governance Structures.</w:t>
      </w:r>
      <w:r>
        <w:rPr>
          <w:rFonts w:ascii="Arial" w:hAnsi="Arial" w:cs="Arial"/>
          <w:szCs w:val="22"/>
        </w:rPr>
        <w:t xml:space="preserve"> </w:t>
      </w:r>
      <w:r w:rsidRPr="00810BBC">
        <w:rPr>
          <w:rFonts w:ascii="Arial" w:hAnsi="Arial" w:cs="Arial"/>
          <w:szCs w:val="22"/>
        </w:rPr>
        <w:t>In addition, the team co-ordinate Member's Expenses, Member Services Budget and ad-hoc Constitutional Issues.</w:t>
      </w:r>
      <w:r>
        <w:rPr>
          <w:rFonts w:ascii="Arial" w:hAnsi="Arial" w:cs="Arial"/>
          <w:szCs w:val="22"/>
        </w:rPr>
        <w:t xml:space="preserve"> Following the re-organisation in 2015/16 the budget is maintained at a similar level, despite £20k estimated extra costs arising from</w:t>
      </w:r>
      <w:r w:rsidRPr="00810BBC">
        <w:rPr>
          <w:rFonts w:ascii="Arial" w:hAnsi="Arial" w:cs="Arial"/>
          <w:szCs w:val="22"/>
        </w:rPr>
        <w:t xml:space="preserve"> the additional external room bookings costs due to refurbishment at L</w:t>
      </w:r>
      <w:r>
        <w:rPr>
          <w:rFonts w:ascii="Arial" w:hAnsi="Arial" w:cs="Arial"/>
          <w:szCs w:val="22"/>
        </w:rPr>
        <w:t xml:space="preserve">ocal </w:t>
      </w:r>
      <w:r w:rsidRPr="00810BBC">
        <w:rPr>
          <w:rFonts w:ascii="Arial" w:hAnsi="Arial" w:cs="Arial"/>
          <w:szCs w:val="22"/>
        </w:rPr>
        <w:t>G</w:t>
      </w:r>
      <w:r>
        <w:rPr>
          <w:rFonts w:ascii="Arial" w:hAnsi="Arial" w:cs="Arial"/>
          <w:szCs w:val="22"/>
        </w:rPr>
        <w:t xml:space="preserve">overnment </w:t>
      </w:r>
      <w:r w:rsidRPr="00810BBC">
        <w:rPr>
          <w:rFonts w:ascii="Arial" w:hAnsi="Arial" w:cs="Arial"/>
          <w:szCs w:val="22"/>
        </w:rPr>
        <w:t>H</w:t>
      </w:r>
      <w:r>
        <w:rPr>
          <w:rFonts w:ascii="Arial" w:hAnsi="Arial" w:cs="Arial"/>
          <w:szCs w:val="22"/>
        </w:rPr>
        <w:t xml:space="preserve">ouse.  </w:t>
      </w:r>
    </w:p>
    <w:p w14:paraId="34212361" w14:textId="51FDFE65" w:rsidR="00312217" w:rsidRPr="00215EAB" w:rsidRDefault="00312217" w:rsidP="00312217">
      <w:pPr>
        <w:pStyle w:val="MainText"/>
        <w:rPr>
          <w:rFonts w:ascii="Arial" w:hAnsi="Arial" w:cs="Arial"/>
          <w:b/>
          <w:szCs w:val="22"/>
        </w:rPr>
      </w:pPr>
      <w:r w:rsidRPr="00215EAB">
        <w:rPr>
          <w:rFonts w:ascii="Arial" w:hAnsi="Arial" w:cs="Arial"/>
          <w:b/>
          <w:szCs w:val="22"/>
        </w:rPr>
        <w:t>Political Group Offices</w:t>
      </w:r>
      <w:r w:rsidR="00215EAB">
        <w:rPr>
          <w:rFonts w:ascii="Arial" w:hAnsi="Arial" w:cs="Arial"/>
          <w:b/>
          <w:szCs w:val="22"/>
        </w:rPr>
        <w:t xml:space="preserve"> –</w:t>
      </w:r>
      <w:r w:rsidR="00685F99">
        <w:rPr>
          <w:rFonts w:ascii="Arial" w:hAnsi="Arial" w:cs="Arial"/>
          <w:b/>
          <w:szCs w:val="22"/>
        </w:rPr>
        <w:t xml:space="preserve"> </w:t>
      </w:r>
      <w:r w:rsidR="00215EAB">
        <w:rPr>
          <w:rFonts w:ascii="Arial" w:hAnsi="Arial" w:cs="Arial"/>
          <w:b/>
          <w:szCs w:val="22"/>
        </w:rPr>
        <w:t>£0.9m (Row 6)</w:t>
      </w:r>
    </w:p>
    <w:p w14:paraId="02F86C53" w14:textId="22107917" w:rsidR="00215EAB" w:rsidRDefault="00F500B5" w:rsidP="00F500B5">
      <w:pPr>
        <w:pStyle w:val="ListParagraph"/>
        <w:numPr>
          <w:ilvl w:val="0"/>
          <w:numId w:val="1"/>
        </w:numPr>
        <w:rPr>
          <w:rFonts w:ascii="Arial" w:hAnsi="Arial" w:cs="Arial"/>
          <w:szCs w:val="22"/>
        </w:rPr>
      </w:pPr>
      <w:r w:rsidRPr="00F500B5">
        <w:rPr>
          <w:rFonts w:ascii="Arial" w:hAnsi="Arial" w:cs="Arial"/>
          <w:szCs w:val="22"/>
        </w:rPr>
        <w:t xml:space="preserve">The </w:t>
      </w:r>
      <w:r>
        <w:rPr>
          <w:rFonts w:ascii="Arial" w:hAnsi="Arial" w:cs="Arial"/>
          <w:szCs w:val="22"/>
        </w:rPr>
        <w:t xml:space="preserve">Political Offices are </w:t>
      </w:r>
      <w:r w:rsidRPr="00F500B5">
        <w:rPr>
          <w:rFonts w:ascii="Arial" w:hAnsi="Arial" w:cs="Arial"/>
          <w:szCs w:val="22"/>
        </w:rPr>
        <w:t>political arm of the organisation, providing the interface between the LGA and Council Leaders, Councillors, MPs, Members of the House of Lords and other elected representatives.</w:t>
      </w:r>
      <w:r>
        <w:rPr>
          <w:rFonts w:ascii="Arial" w:hAnsi="Arial" w:cs="Arial"/>
          <w:szCs w:val="22"/>
        </w:rPr>
        <w:t xml:space="preserve"> The plan is to maintain the current level of support into 2016/17.</w:t>
      </w:r>
    </w:p>
    <w:p w14:paraId="3AF5402A" w14:textId="059B2734" w:rsidR="00312217" w:rsidRDefault="00312217" w:rsidP="003D7751">
      <w:pPr>
        <w:pStyle w:val="MainText"/>
        <w:spacing w:line="240" w:lineRule="auto"/>
        <w:rPr>
          <w:rFonts w:ascii="Arial" w:hAnsi="Arial" w:cs="Arial"/>
          <w:b/>
          <w:szCs w:val="22"/>
        </w:rPr>
      </w:pPr>
      <w:r w:rsidRPr="003D7751">
        <w:rPr>
          <w:rFonts w:ascii="Arial" w:hAnsi="Arial" w:cs="Arial"/>
          <w:b/>
          <w:szCs w:val="22"/>
        </w:rPr>
        <w:t xml:space="preserve">Corporate </w:t>
      </w:r>
      <w:r w:rsidR="003D7751" w:rsidRPr="003D7751">
        <w:rPr>
          <w:rFonts w:ascii="Arial" w:hAnsi="Arial" w:cs="Arial"/>
          <w:b/>
          <w:szCs w:val="22"/>
        </w:rPr>
        <w:t xml:space="preserve">Services </w:t>
      </w:r>
      <w:r w:rsidR="00685F99">
        <w:rPr>
          <w:rFonts w:ascii="Arial" w:hAnsi="Arial" w:cs="Arial"/>
          <w:b/>
          <w:szCs w:val="22"/>
        </w:rPr>
        <w:t xml:space="preserve">- </w:t>
      </w:r>
      <w:r w:rsidR="00453AD2">
        <w:rPr>
          <w:rFonts w:ascii="Arial" w:hAnsi="Arial" w:cs="Arial"/>
          <w:b/>
          <w:szCs w:val="22"/>
        </w:rPr>
        <w:t>£5.</w:t>
      </w:r>
      <w:r w:rsidR="00685F99">
        <w:rPr>
          <w:rFonts w:ascii="Arial" w:hAnsi="Arial" w:cs="Arial"/>
          <w:b/>
          <w:szCs w:val="22"/>
        </w:rPr>
        <w:t>8</w:t>
      </w:r>
      <w:r w:rsidR="003D7751" w:rsidRPr="00CD14AC">
        <w:rPr>
          <w:rFonts w:ascii="Arial" w:hAnsi="Arial" w:cs="Arial"/>
          <w:b/>
          <w:szCs w:val="22"/>
        </w:rPr>
        <w:t>m</w:t>
      </w:r>
      <w:r w:rsidR="00215EAB">
        <w:rPr>
          <w:rFonts w:ascii="Arial" w:hAnsi="Arial" w:cs="Arial"/>
          <w:b/>
          <w:szCs w:val="22"/>
        </w:rPr>
        <w:t xml:space="preserve"> (Row </w:t>
      </w:r>
      <w:r w:rsidR="009F2767">
        <w:rPr>
          <w:rFonts w:ascii="Arial" w:hAnsi="Arial" w:cs="Arial"/>
          <w:b/>
          <w:szCs w:val="22"/>
        </w:rPr>
        <w:t>7</w:t>
      </w:r>
      <w:r w:rsidR="003D7751" w:rsidRPr="003D7751">
        <w:rPr>
          <w:rFonts w:ascii="Arial" w:hAnsi="Arial" w:cs="Arial"/>
          <w:b/>
          <w:szCs w:val="22"/>
        </w:rPr>
        <w:t>)</w:t>
      </w:r>
    </w:p>
    <w:p w14:paraId="6DAB5971" w14:textId="1424F36A" w:rsidR="003D7751" w:rsidRPr="00CD14AC" w:rsidRDefault="003D7751" w:rsidP="003D7751">
      <w:pPr>
        <w:pStyle w:val="ListParagraph"/>
        <w:numPr>
          <w:ilvl w:val="0"/>
          <w:numId w:val="1"/>
        </w:numPr>
        <w:rPr>
          <w:rFonts w:ascii="Arial" w:hAnsi="Arial" w:cs="Arial"/>
          <w:szCs w:val="22"/>
        </w:rPr>
      </w:pPr>
      <w:r w:rsidRPr="00CD14AC">
        <w:rPr>
          <w:rFonts w:ascii="Arial" w:hAnsi="Arial" w:cs="Arial"/>
          <w:szCs w:val="22"/>
        </w:rPr>
        <w:t xml:space="preserve">In January 2015, the LGA gave Liberata 12 months’ notice (as required under the contract) of its intention to terminate the contract for convenience. </w:t>
      </w:r>
      <w:r w:rsidR="00F417A4">
        <w:rPr>
          <w:rFonts w:ascii="Arial" w:hAnsi="Arial" w:cs="Arial"/>
          <w:szCs w:val="22"/>
        </w:rPr>
        <w:t xml:space="preserve">In addition </w:t>
      </w:r>
      <w:r w:rsidR="00383BD8">
        <w:rPr>
          <w:rFonts w:ascii="Arial" w:hAnsi="Arial" w:cs="Arial"/>
          <w:szCs w:val="22"/>
        </w:rPr>
        <w:t xml:space="preserve">the LGA carried out a restructuring of its own support organisation in early 2015-16. </w:t>
      </w:r>
      <w:r w:rsidR="00E10608">
        <w:rPr>
          <w:rFonts w:ascii="Arial" w:hAnsi="Arial" w:cs="Arial"/>
          <w:szCs w:val="22"/>
        </w:rPr>
        <w:t xml:space="preserve">ICT services are now delivered by Brent Council via a </w:t>
      </w:r>
      <w:proofErr w:type="spellStart"/>
      <w:r w:rsidR="00E10608">
        <w:rPr>
          <w:rFonts w:ascii="Arial" w:hAnsi="Arial" w:cs="Arial"/>
          <w:szCs w:val="22"/>
        </w:rPr>
        <w:t>Teckal</w:t>
      </w:r>
      <w:proofErr w:type="spellEnd"/>
      <w:r w:rsidR="00E10608">
        <w:rPr>
          <w:rFonts w:ascii="Arial" w:hAnsi="Arial" w:cs="Arial"/>
          <w:szCs w:val="22"/>
        </w:rPr>
        <w:t xml:space="preserve"> company.</w:t>
      </w:r>
      <w:r w:rsidR="00383BD8">
        <w:rPr>
          <w:rFonts w:ascii="Arial" w:hAnsi="Arial" w:cs="Arial"/>
          <w:szCs w:val="22"/>
        </w:rPr>
        <w:t xml:space="preserve"> Note that some part of these costs are now shown within the Communications budget at paragraph’s 11-14 above.</w:t>
      </w:r>
    </w:p>
    <w:p w14:paraId="619345D3" w14:textId="77777777" w:rsidR="003B60F3" w:rsidRDefault="003B60F3" w:rsidP="00E10608">
      <w:pPr>
        <w:pStyle w:val="MainText"/>
        <w:spacing w:line="240" w:lineRule="auto"/>
        <w:rPr>
          <w:rFonts w:ascii="Arial" w:hAnsi="Arial" w:cs="Arial"/>
          <w:b/>
          <w:szCs w:val="22"/>
        </w:rPr>
      </w:pPr>
    </w:p>
    <w:p w14:paraId="32F141AD" w14:textId="77777777" w:rsidR="00685F99" w:rsidRDefault="00685F99">
      <w:pPr>
        <w:spacing w:after="160" w:line="259" w:lineRule="auto"/>
        <w:rPr>
          <w:rFonts w:ascii="Arial" w:hAnsi="Arial" w:cs="Arial"/>
          <w:b/>
          <w:szCs w:val="22"/>
        </w:rPr>
      </w:pPr>
      <w:r>
        <w:rPr>
          <w:rFonts w:ascii="Arial" w:hAnsi="Arial" w:cs="Arial"/>
          <w:b/>
          <w:szCs w:val="22"/>
        </w:rPr>
        <w:br w:type="page"/>
      </w:r>
    </w:p>
    <w:p w14:paraId="69EAA091" w14:textId="23D8102D" w:rsidR="003B60F3" w:rsidRDefault="00E10608" w:rsidP="00312217">
      <w:pPr>
        <w:pStyle w:val="MainText"/>
        <w:spacing w:line="240" w:lineRule="auto"/>
        <w:rPr>
          <w:rFonts w:ascii="Arial" w:hAnsi="Arial" w:cs="Arial"/>
          <w:b/>
          <w:szCs w:val="22"/>
        </w:rPr>
      </w:pPr>
      <w:r>
        <w:rPr>
          <w:rFonts w:ascii="Arial" w:hAnsi="Arial" w:cs="Arial"/>
          <w:b/>
          <w:szCs w:val="22"/>
        </w:rPr>
        <w:lastRenderedPageBreak/>
        <w:t>HOW WE FUND OUR SERVICES</w:t>
      </w:r>
    </w:p>
    <w:p w14:paraId="691ED09C" w14:textId="0A1C32F5" w:rsidR="00312217" w:rsidRPr="00CD14AC" w:rsidRDefault="00312217" w:rsidP="00312217">
      <w:pPr>
        <w:pStyle w:val="MainText"/>
        <w:spacing w:line="240" w:lineRule="auto"/>
        <w:rPr>
          <w:rFonts w:ascii="Arial" w:hAnsi="Arial" w:cs="Arial"/>
          <w:b/>
          <w:szCs w:val="22"/>
        </w:rPr>
      </w:pPr>
      <w:r>
        <w:rPr>
          <w:rFonts w:ascii="Arial" w:hAnsi="Arial" w:cs="Arial"/>
          <w:b/>
          <w:szCs w:val="22"/>
        </w:rPr>
        <w:t>Direct Government Grant</w:t>
      </w:r>
      <w:r w:rsidRPr="00CD14AC">
        <w:rPr>
          <w:rFonts w:ascii="Arial" w:hAnsi="Arial" w:cs="Arial"/>
          <w:b/>
          <w:szCs w:val="22"/>
        </w:rPr>
        <w:t xml:space="preserve"> </w:t>
      </w:r>
      <w:r>
        <w:rPr>
          <w:rFonts w:ascii="Arial" w:hAnsi="Arial" w:cs="Arial"/>
          <w:b/>
          <w:szCs w:val="22"/>
        </w:rPr>
        <w:t xml:space="preserve">(DGG) </w:t>
      </w:r>
      <w:r w:rsidRPr="00CD14AC">
        <w:rPr>
          <w:rFonts w:ascii="Arial" w:hAnsi="Arial" w:cs="Arial"/>
          <w:b/>
          <w:szCs w:val="22"/>
        </w:rPr>
        <w:t>–</w:t>
      </w:r>
      <w:r w:rsidR="00685F99">
        <w:rPr>
          <w:rFonts w:ascii="Arial" w:hAnsi="Arial" w:cs="Arial"/>
          <w:b/>
          <w:szCs w:val="22"/>
        </w:rPr>
        <w:t xml:space="preserve"> </w:t>
      </w:r>
      <w:r w:rsidRPr="00CD14AC">
        <w:rPr>
          <w:rFonts w:ascii="Arial" w:hAnsi="Arial" w:cs="Arial"/>
          <w:b/>
          <w:szCs w:val="22"/>
        </w:rPr>
        <w:t>£</w:t>
      </w:r>
      <w:r w:rsidR="00215EAB">
        <w:rPr>
          <w:rFonts w:ascii="Arial" w:hAnsi="Arial" w:cs="Arial"/>
          <w:b/>
          <w:szCs w:val="22"/>
        </w:rPr>
        <w:t>22.0</w:t>
      </w:r>
      <w:r w:rsidRPr="00CD14AC">
        <w:rPr>
          <w:rFonts w:ascii="Arial" w:hAnsi="Arial" w:cs="Arial"/>
          <w:b/>
          <w:szCs w:val="22"/>
        </w:rPr>
        <w:t>m</w:t>
      </w:r>
      <w:r w:rsidR="009F2767">
        <w:rPr>
          <w:rFonts w:ascii="Arial" w:hAnsi="Arial" w:cs="Arial"/>
          <w:b/>
          <w:szCs w:val="22"/>
        </w:rPr>
        <w:t xml:space="preserve"> (Row 8</w:t>
      </w:r>
      <w:r>
        <w:rPr>
          <w:rFonts w:ascii="Arial" w:hAnsi="Arial" w:cs="Arial"/>
          <w:b/>
          <w:szCs w:val="22"/>
        </w:rPr>
        <w:t>)</w:t>
      </w:r>
    </w:p>
    <w:p w14:paraId="513738FF" w14:textId="282A115C" w:rsidR="009F2767" w:rsidRDefault="009F2767" w:rsidP="009F2767">
      <w:pPr>
        <w:pStyle w:val="ListParagraph"/>
        <w:numPr>
          <w:ilvl w:val="0"/>
          <w:numId w:val="1"/>
        </w:numPr>
        <w:rPr>
          <w:rFonts w:ascii="Arial" w:hAnsi="Arial" w:cs="Arial"/>
          <w:szCs w:val="22"/>
        </w:rPr>
      </w:pPr>
      <w:r w:rsidRPr="00D961C6">
        <w:rPr>
          <w:rFonts w:ascii="Arial" w:hAnsi="Arial" w:cs="Arial"/>
          <w:szCs w:val="22"/>
        </w:rPr>
        <w:t>Over the last five years the support that had been provided through RSG has been reduced by over 50 per cent in real te</w:t>
      </w:r>
      <w:r>
        <w:rPr>
          <w:rFonts w:ascii="Arial" w:hAnsi="Arial" w:cs="Arial"/>
          <w:szCs w:val="22"/>
        </w:rPr>
        <w:t>rms from £41.3 million in 2010/</w:t>
      </w:r>
      <w:r w:rsidRPr="00D961C6">
        <w:rPr>
          <w:rFonts w:ascii="Arial" w:hAnsi="Arial" w:cs="Arial"/>
          <w:szCs w:val="22"/>
        </w:rPr>
        <w:t>11 to £23.4m in 2015/16.   Discussions are continuing with government about the grant figure for 2016/17 onwards.  Our bid to government assumes a further reduction of</w:t>
      </w:r>
      <w:r w:rsidR="005A3DAD">
        <w:rPr>
          <w:rFonts w:ascii="Arial" w:hAnsi="Arial" w:cs="Arial"/>
          <w:szCs w:val="22"/>
        </w:rPr>
        <w:t xml:space="preserve"> 24%</w:t>
      </w:r>
      <w:r w:rsidRPr="00D961C6">
        <w:rPr>
          <w:rFonts w:ascii="Arial" w:hAnsi="Arial" w:cs="Arial"/>
          <w:szCs w:val="22"/>
        </w:rPr>
        <w:t>over the next four years, as follows:</w:t>
      </w:r>
    </w:p>
    <w:tbl>
      <w:tblPr>
        <w:tblStyle w:val="TableGrid"/>
        <w:tblW w:w="0" w:type="auto"/>
        <w:tblInd w:w="421" w:type="dxa"/>
        <w:tblLook w:val="04A0" w:firstRow="1" w:lastRow="0" w:firstColumn="1" w:lastColumn="0" w:noHBand="0" w:noVBand="1"/>
      </w:tblPr>
      <w:tblGrid>
        <w:gridCol w:w="1984"/>
        <w:gridCol w:w="1985"/>
        <w:gridCol w:w="1984"/>
        <w:gridCol w:w="1985"/>
      </w:tblGrid>
      <w:tr w:rsidR="009F2767" w:rsidRPr="00271F37" w14:paraId="08574A5B" w14:textId="77777777" w:rsidTr="009F2767">
        <w:tc>
          <w:tcPr>
            <w:tcW w:w="1984" w:type="dxa"/>
          </w:tcPr>
          <w:p w14:paraId="4E926195"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2016/17</w:t>
            </w:r>
          </w:p>
        </w:tc>
        <w:tc>
          <w:tcPr>
            <w:tcW w:w="1985" w:type="dxa"/>
          </w:tcPr>
          <w:p w14:paraId="60B66DE3"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2017/18</w:t>
            </w:r>
          </w:p>
        </w:tc>
        <w:tc>
          <w:tcPr>
            <w:tcW w:w="1984" w:type="dxa"/>
          </w:tcPr>
          <w:p w14:paraId="51A298B9"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2018/19</w:t>
            </w:r>
          </w:p>
        </w:tc>
        <w:tc>
          <w:tcPr>
            <w:tcW w:w="1985" w:type="dxa"/>
          </w:tcPr>
          <w:p w14:paraId="65C9C354" w14:textId="77777777" w:rsidR="009F2767" w:rsidRPr="00271F37" w:rsidRDefault="009F2767" w:rsidP="009F2767">
            <w:pPr>
              <w:rPr>
                <w:rFonts w:ascii="Arial" w:hAnsi="Arial" w:cs="Arial"/>
                <w:b/>
                <w:color w:val="000000"/>
                <w:sz w:val="24"/>
                <w:szCs w:val="24"/>
              </w:rPr>
            </w:pPr>
            <w:r w:rsidRPr="00271F37">
              <w:rPr>
                <w:rFonts w:ascii="Arial" w:hAnsi="Arial" w:cs="Arial"/>
                <w:b/>
                <w:color w:val="000000"/>
                <w:sz w:val="24"/>
                <w:szCs w:val="24"/>
              </w:rPr>
              <w:t>2019/20</w:t>
            </w:r>
          </w:p>
        </w:tc>
      </w:tr>
      <w:tr w:rsidR="009F2767" w:rsidRPr="00271F37" w14:paraId="19644C83" w14:textId="77777777" w:rsidTr="009F2767">
        <w:tc>
          <w:tcPr>
            <w:tcW w:w="1984" w:type="dxa"/>
          </w:tcPr>
          <w:p w14:paraId="17CC3A8F"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£21.996m</w:t>
            </w:r>
          </w:p>
        </w:tc>
        <w:tc>
          <w:tcPr>
            <w:tcW w:w="1985" w:type="dxa"/>
          </w:tcPr>
          <w:p w14:paraId="10EF4DF4"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£20.592m</w:t>
            </w:r>
          </w:p>
        </w:tc>
        <w:tc>
          <w:tcPr>
            <w:tcW w:w="1984" w:type="dxa"/>
          </w:tcPr>
          <w:p w14:paraId="478E407D"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£19.188m</w:t>
            </w:r>
          </w:p>
        </w:tc>
        <w:tc>
          <w:tcPr>
            <w:tcW w:w="1985" w:type="dxa"/>
          </w:tcPr>
          <w:p w14:paraId="374CD3C0" w14:textId="77777777" w:rsidR="009F2767" w:rsidRPr="00271F37" w:rsidRDefault="009F2767" w:rsidP="009F2767">
            <w:pPr>
              <w:rPr>
                <w:rFonts w:ascii="Arial" w:hAnsi="Arial" w:cs="Arial"/>
                <w:color w:val="000000"/>
                <w:sz w:val="24"/>
                <w:szCs w:val="24"/>
              </w:rPr>
            </w:pPr>
            <w:r w:rsidRPr="00271F37">
              <w:rPr>
                <w:rFonts w:ascii="Arial" w:hAnsi="Arial" w:cs="Arial"/>
                <w:color w:val="000000"/>
                <w:sz w:val="24"/>
                <w:szCs w:val="24"/>
              </w:rPr>
              <w:t>£17.784m</w:t>
            </w:r>
          </w:p>
        </w:tc>
      </w:tr>
    </w:tbl>
    <w:p w14:paraId="37D7F650" w14:textId="77777777" w:rsidR="009F2767" w:rsidRDefault="009F2767" w:rsidP="009F2767">
      <w:pPr>
        <w:rPr>
          <w:rFonts w:ascii="Arial" w:hAnsi="Arial" w:cs="Arial"/>
          <w:szCs w:val="22"/>
        </w:rPr>
      </w:pPr>
    </w:p>
    <w:p w14:paraId="731121CB" w14:textId="77777777" w:rsidR="009F2767" w:rsidRPr="00543593" w:rsidRDefault="009F2767" w:rsidP="009F2767">
      <w:pPr>
        <w:pStyle w:val="ListParagraph"/>
        <w:numPr>
          <w:ilvl w:val="0"/>
          <w:numId w:val="1"/>
        </w:numPr>
        <w:rPr>
          <w:rFonts w:ascii="Arial" w:hAnsi="Arial" w:cs="Arial"/>
          <w:szCs w:val="22"/>
        </w:rPr>
      </w:pPr>
      <w:r w:rsidRPr="00D961C6">
        <w:rPr>
          <w:rFonts w:ascii="Arial" w:hAnsi="Arial" w:cs="Arial"/>
          <w:szCs w:val="22"/>
        </w:rPr>
        <w:t xml:space="preserve">Depending on the outcome of these negotiations changes made be required to a number of budget lines currently funded by way of government grant.  Clearly if the grant is less then assumed in this report then either further reductions will need to be made or increased income will need to be achieved to maintain the current levels of activity.  </w:t>
      </w:r>
    </w:p>
    <w:p w14:paraId="5AA39926" w14:textId="77777777" w:rsidR="009F2767" w:rsidRPr="00312217" w:rsidRDefault="009F2767" w:rsidP="00312217">
      <w:pPr>
        <w:pStyle w:val="MainText"/>
        <w:rPr>
          <w:rFonts w:ascii="Arial" w:hAnsi="Arial" w:cs="Arial"/>
          <w:szCs w:val="22"/>
        </w:rPr>
      </w:pPr>
    </w:p>
    <w:p w14:paraId="2B2923AD" w14:textId="75883BA5" w:rsidR="00312217" w:rsidRPr="00312217" w:rsidRDefault="00312217" w:rsidP="00312217">
      <w:pPr>
        <w:pStyle w:val="MainText"/>
        <w:rPr>
          <w:rFonts w:ascii="Arial" w:hAnsi="Arial" w:cs="Arial"/>
          <w:b/>
          <w:szCs w:val="22"/>
        </w:rPr>
      </w:pPr>
      <w:r w:rsidRPr="00312217">
        <w:rPr>
          <w:rFonts w:ascii="Arial" w:hAnsi="Arial" w:cs="Arial"/>
          <w:b/>
          <w:szCs w:val="22"/>
        </w:rPr>
        <w:t>Welsh RSG Income</w:t>
      </w:r>
      <w:r w:rsidR="009E5733">
        <w:rPr>
          <w:rFonts w:ascii="Arial" w:hAnsi="Arial" w:cs="Arial"/>
          <w:b/>
          <w:szCs w:val="22"/>
        </w:rPr>
        <w:t xml:space="preserve"> - £0.3m </w:t>
      </w:r>
      <w:r w:rsidR="009F2767">
        <w:rPr>
          <w:rFonts w:ascii="Arial" w:hAnsi="Arial" w:cs="Arial"/>
          <w:b/>
          <w:szCs w:val="22"/>
        </w:rPr>
        <w:t>(Row 9</w:t>
      </w:r>
      <w:r>
        <w:rPr>
          <w:rFonts w:ascii="Arial" w:hAnsi="Arial" w:cs="Arial"/>
          <w:b/>
          <w:szCs w:val="22"/>
        </w:rPr>
        <w:t>)</w:t>
      </w:r>
    </w:p>
    <w:p w14:paraId="644A6568" w14:textId="77777777" w:rsidR="00312217" w:rsidRPr="00CD14AC" w:rsidRDefault="00312217" w:rsidP="00312217">
      <w:pPr>
        <w:pStyle w:val="ListParagraph"/>
        <w:numPr>
          <w:ilvl w:val="0"/>
          <w:numId w:val="1"/>
        </w:numPr>
        <w:rPr>
          <w:rFonts w:ascii="Arial" w:hAnsi="Arial" w:cs="Arial"/>
          <w:szCs w:val="22"/>
        </w:rPr>
      </w:pPr>
      <w:r w:rsidRPr="00CD14AC">
        <w:rPr>
          <w:rFonts w:ascii="Arial" w:hAnsi="Arial" w:cs="Arial"/>
          <w:szCs w:val="22"/>
        </w:rPr>
        <w:t>The Welsh LGA corporate subscription on behalf of Welsh councils is projected to continue</w:t>
      </w:r>
      <w:r>
        <w:rPr>
          <w:rFonts w:ascii="Arial" w:hAnsi="Arial" w:cs="Arial"/>
          <w:szCs w:val="22"/>
        </w:rPr>
        <w:t xml:space="preserve"> at broadly the same level at £295k</w:t>
      </w:r>
      <w:r w:rsidRPr="00CD14AC">
        <w:rPr>
          <w:rFonts w:ascii="Arial" w:hAnsi="Arial" w:cs="Arial"/>
          <w:szCs w:val="22"/>
        </w:rPr>
        <w:t>.</w:t>
      </w:r>
    </w:p>
    <w:p w14:paraId="15214484" w14:textId="77777777" w:rsidR="003B60F3" w:rsidRDefault="003B60F3" w:rsidP="00312217">
      <w:pPr>
        <w:pStyle w:val="MainText"/>
        <w:spacing w:line="240" w:lineRule="auto"/>
        <w:rPr>
          <w:rFonts w:ascii="Arial" w:hAnsi="Arial" w:cs="Arial"/>
          <w:b/>
          <w:szCs w:val="22"/>
        </w:rPr>
      </w:pPr>
    </w:p>
    <w:p w14:paraId="384E277D" w14:textId="054F1152" w:rsidR="00312217" w:rsidRPr="007B5A74" w:rsidRDefault="00312217" w:rsidP="00312217">
      <w:pPr>
        <w:pStyle w:val="MainText"/>
        <w:spacing w:line="240" w:lineRule="auto"/>
        <w:rPr>
          <w:rFonts w:ascii="Arial" w:hAnsi="Arial" w:cs="Arial"/>
          <w:b/>
          <w:szCs w:val="22"/>
        </w:rPr>
      </w:pPr>
      <w:r w:rsidRPr="007B5A74">
        <w:rPr>
          <w:rFonts w:ascii="Arial" w:hAnsi="Arial" w:cs="Arial"/>
          <w:b/>
          <w:szCs w:val="22"/>
        </w:rPr>
        <w:t xml:space="preserve">LGA Subscriptions Income – </w:t>
      </w:r>
      <w:r w:rsidR="00485B2A" w:rsidRPr="007B5A74">
        <w:rPr>
          <w:rFonts w:ascii="Arial" w:hAnsi="Arial" w:cs="Arial"/>
          <w:b/>
          <w:szCs w:val="22"/>
        </w:rPr>
        <w:t xml:space="preserve">broadly </w:t>
      </w:r>
      <w:r w:rsidRPr="007B5A74">
        <w:rPr>
          <w:rFonts w:ascii="Arial" w:hAnsi="Arial" w:cs="Arial"/>
          <w:b/>
          <w:szCs w:val="22"/>
        </w:rPr>
        <w:t>maintain at £9.4m. (Row 1</w:t>
      </w:r>
      <w:r w:rsidR="009F2767" w:rsidRPr="007B5A74">
        <w:rPr>
          <w:rFonts w:ascii="Arial" w:hAnsi="Arial" w:cs="Arial"/>
          <w:b/>
          <w:szCs w:val="22"/>
        </w:rPr>
        <w:t>0</w:t>
      </w:r>
      <w:r w:rsidRPr="007B5A74">
        <w:rPr>
          <w:rFonts w:ascii="Arial" w:hAnsi="Arial" w:cs="Arial"/>
          <w:b/>
          <w:szCs w:val="22"/>
        </w:rPr>
        <w:t>)</w:t>
      </w:r>
    </w:p>
    <w:p w14:paraId="294DAE58" w14:textId="0B0F6B77" w:rsidR="00312217" w:rsidRPr="007B5A74" w:rsidRDefault="00312217" w:rsidP="00312217">
      <w:pPr>
        <w:pStyle w:val="ListParagraph"/>
        <w:numPr>
          <w:ilvl w:val="0"/>
          <w:numId w:val="1"/>
        </w:numPr>
        <w:rPr>
          <w:rFonts w:ascii="Arial" w:hAnsi="Arial" w:cs="Arial"/>
          <w:szCs w:val="22"/>
        </w:rPr>
      </w:pPr>
      <w:r w:rsidRPr="007B5A74">
        <w:rPr>
          <w:rFonts w:ascii="Arial" w:hAnsi="Arial" w:cs="Arial"/>
          <w:szCs w:val="22"/>
        </w:rPr>
        <w:t xml:space="preserve">Members have agreed that the LGA’s subscriptions for 2016/17 should be based on the structure for the previous year. This means that the LGA’s subscription income will be maintained at broadly the same level as 2015/16, provided the number of councils who leave membership does not significantly increase. At the time of writing this report, </w:t>
      </w:r>
      <w:r w:rsidR="007B5A74">
        <w:rPr>
          <w:rFonts w:ascii="Arial" w:hAnsi="Arial" w:cs="Arial"/>
          <w:szCs w:val="22"/>
        </w:rPr>
        <w:t>5</w:t>
      </w:r>
      <w:r w:rsidRPr="007B5A74">
        <w:rPr>
          <w:rFonts w:ascii="Arial" w:hAnsi="Arial" w:cs="Arial"/>
          <w:szCs w:val="22"/>
        </w:rPr>
        <w:t xml:space="preserve"> councils </w:t>
      </w:r>
      <w:r w:rsidR="00BB72E0" w:rsidRPr="007B5A74">
        <w:rPr>
          <w:rFonts w:ascii="Arial" w:hAnsi="Arial" w:cs="Arial"/>
          <w:szCs w:val="22"/>
        </w:rPr>
        <w:t xml:space="preserve">are not in </w:t>
      </w:r>
      <w:r w:rsidRPr="007B5A74">
        <w:rPr>
          <w:rFonts w:ascii="Arial" w:hAnsi="Arial" w:cs="Arial"/>
          <w:szCs w:val="22"/>
        </w:rPr>
        <w:t xml:space="preserve">membership as from 1 April 2016, and </w:t>
      </w:r>
      <w:r w:rsidR="00BB72E0" w:rsidRPr="007B5A74">
        <w:rPr>
          <w:rFonts w:ascii="Arial" w:hAnsi="Arial" w:cs="Arial"/>
          <w:szCs w:val="22"/>
        </w:rPr>
        <w:t>7</w:t>
      </w:r>
      <w:r w:rsidRPr="007B5A74">
        <w:rPr>
          <w:rFonts w:ascii="Arial" w:hAnsi="Arial" w:cs="Arial"/>
          <w:szCs w:val="22"/>
        </w:rPr>
        <w:t xml:space="preserve"> councils were on notice to wi</w:t>
      </w:r>
      <w:r w:rsidR="007B5A74">
        <w:rPr>
          <w:rFonts w:ascii="Arial" w:hAnsi="Arial" w:cs="Arial"/>
          <w:szCs w:val="22"/>
        </w:rPr>
        <w:t>thdraw from 1 April 2017</w:t>
      </w:r>
      <w:r w:rsidRPr="007B5A74">
        <w:rPr>
          <w:rFonts w:ascii="Arial" w:hAnsi="Arial" w:cs="Arial"/>
          <w:szCs w:val="22"/>
        </w:rPr>
        <w:t>. Our current assessment is that most, if not all of them will continue in membership and that therefore no provision for loss of subscription income is necessary.</w:t>
      </w:r>
    </w:p>
    <w:p w14:paraId="242627D5" w14:textId="77777777" w:rsidR="00312217" w:rsidRPr="00CD14AC" w:rsidRDefault="00312217" w:rsidP="00312217">
      <w:pPr>
        <w:pStyle w:val="ListParagraph"/>
        <w:numPr>
          <w:ilvl w:val="0"/>
          <w:numId w:val="1"/>
        </w:numPr>
        <w:rPr>
          <w:rFonts w:ascii="Arial" w:hAnsi="Arial" w:cs="Arial"/>
          <w:szCs w:val="22"/>
        </w:rPr>
      </w:pPr>
      <w:r w:rsidRPr="00CD14AC">
        <w:rPr>
          <w:rFonts w:ascii="Arial" w:hAnsi="Arial" w:cs="Arial"/>
          <w:szCs w:val="22"/>
        </w:rPr>
        <w:t xml:space="preserve">A prompt payment discount of 2.5% was agreed by members for 2011/12. A further loyalty discount of 2.5% which took effect from 2013/14 resulted in a reduction in subscription income of £400k. </w:t>
      </w:r>
    </w:p>
    <w:tbl>
      <w:tblPr>
        <w:tblStyle w:val="TableGrid"/>
        <w:tblW w:w="0" w:type="auto"/>
        <w:tblLook w:val="04A0" w:firstRow="1" w:lastRow="0" w:firstColumn="1" w:lastColumn="0" w:noHBand="0" w:noVBand="1"/>
      </w:tblPr>
      <w:tblGrid>
        <w:gridCol w:w="1366"/>
        <w:gridCol w:w="1366"/>
        <w:gridCol w:w="1366"/>
        <w:gridCol w:w="1367"/>
        <w:gridCol w:w="1367"/>
        <w:gridCol w:w="1367"/>
        <w:gridCol w:w="1146"/>
      </w:tblGrid>
      <w:tr w:rsidR="00312217" w:rsidRPr="00510163" w14:paraId="3BC74E4E" w14:textId="77777777" w:rsidTr="00312217">
        <w:tc>
          <w:tcPr>
            <w:tcW w:w="1366" w:type="dxa"/>
          </w:tcPr>
          <w:p w14:paraId="66D2E341" w14:textId="77777777" w:rsidR="00312217" w:rsidRPr="00510163" w:rsidRDefault="00312217" w:rsidP="00312217">
            <w:pPr>
              <w:rPr>
                <w:rFonts w:ascii="Arial" w:hAnsi="Arial" w:cs="Arial"/>
                <w:szCs w:val="22"/>
              </w:rPr>
            </w:pPr>
            <w:r w:rsidRPr="00510163">
              <w:rPr>
                <w:rFonts w:ascii="Arial" w:hAnsi="Arial" w:cs="Arial"/>
                <w:szCs w:val="22"/>
              </w:rPr>
              <w:t>2010/11</w:t>
            </w:r>
          </w:p>
        </w:tc>
        <w:tc>
          <w:tcPr>
            <w:tcW w:w="1366" w:type="dxa"/>
          </w:tcPr>
          <w:p w14:paraId="43651C64" w14:textId="77777777" w:rsidR="00312217" w:rsidRPr="00510163" w:rsidRDefault="00312217" w:rsidP="00312217">
            <w:pPr>
              <w:rPr>
                <w:rFonts w:ascii="Arial" w:hAnsi="Arial" w:cs="Arial"/>
                <w:szCs w:val="22"/>
              </w:rPr>
            </w:pPr>
            <w:r w:rsidRPr="00510163">
              <w:rPr>
                <w:rFonts w:ascii="Arial" w:hAnsi="Arial" w:cs="Arial"/>
                <w:szCs w:val="22"/>
              </w:rPr>
              <w:t>2011/12</w:t>
            </w:r>
          </w:p>
        </w:tc>
        <w:tc>
          <w:tcPr>
            <w:tcW w:w="1366" w:type="dxa"/>
          </w:tcPr>
          <w:p w14:paraId="18FEF1C3" w14:textId="77777777" w:rsidR="00312217" w:rsidRPr="00510163" w:rsidRDefault="00312217" w:rsidP="00312217">
            <w:pPr>
              <w:rPr>
                <w:rFonts w:ascii="Arial" w:hAnsi="Arial" w:cs="Arial"/>
                <w:szCs w:val="22"/>
              </w:rPr>
            </w:pPr>
            <w:r w:rsidRPr="00510163">
              <w:rPr>
                <w:rFonts w:ascii="Arial" w:hAnsi="Arial" w:cs="Arial"/>
                <w:szCs w:val="22"/>
              </w:rPr>
              <w:t>2012/13</w:t>
            </w:r>
          </w:p>
        </w:tc>
        <w:tc>
          <w:tcPr>
            <w:tcW w:w="1367" w:type="dxa"/>
          </w:tcPr>
          <w:p w14:paraId="078D799E" w14:textId="77777777" w:rsidR="00312217" w:rsidRPr="00510163" w:rsidRDefault="00312217" w:rsidP="00312217">
            <w:pPr>
              <w:rPr>
                <w:rFonts w:ascii="Arial" w:hAnsi="Arial" w:cs="Arial"/>
                <w:szCs w:val="22"/>
              </w:rPr>
            </w:pPr>
            <w:r w:rsidRPr="00510163">
              <w:rPr>
                <w:rFonts w:ascii="Arial" w:hAnsi="Arial" w:cs="Arial"/>
                <w:szCs w:val="22"/>
              </w:rPr>
              <w:t>2013/14</w:t>
            </w:r>
          </w:p>
        </w:tc>
        <w:tc>
          <w:tcPr>
            <w:tcW w:w="1367" w:type="dxa"/>
          </w:tcPr>
          <w:p w14:paraId="597F6994" w14:textId="77777777" w:rsidR="00312217" w:rsidRPr="00510163" w:rsidRDefault="00312217" w:rsidP="00312217">
            <w:pPr>
              <w:rPr>
                <w:rFonts w:ascii="Arial" w:hAnsi="Arial" w:cs="Arial"/>
                <w:szCs w:val="22"/>
              </w:rPr>
            </w:pPr>
            <w:r w:rsidRPr="00510163">
              <w:rPr>
                <w:rFonts w:ascii="Arial" w:hAnsi="Arial" w:cs="Arial"/>
                <w:szCs w:val="22"/>
              </w:rPr>
              <w:t>2014/15</w:t>
            </w:r>
          </w:p>
        </w:tc>
        <w:tc>
          <w:tcPr>
            <w:tcW w:w="1367" w:type="dxa"/>
          </w:tcPr>
          <w:p w14:paraId="0802420A" w14:textId="77777777" w:rsidR="00312217" w:rsidRPr="00510163" w:rsidRDefault="00312217" w:rsidP="00312217">
            <w:pPr>
              <w:rPr>
                <w:rFonts w:ascii="Arial" w:hAnsi="Arial" w:cs="Arial"/>
                <w:szCs w:val="22"/>
              </w:rPr>
            </w:pPr>
            <w:r w:rsidRPr="00510163">
              <w:rPr>
                <w:rFonts w:ascii="Arial" w:hAnsi="Arial" w:cs="Arial"/>
                <w:szCs w:val="22"/>
              </w:rPr>
              <w:t>2015/16</w:t>
            </w:r>
          </w:p>
        </w:tc>
        <w:tc>
          <w:tcPr>
            <w:tcW w:w="1146" w:type="dxa"/>
          </w:tcPr>
          <w:p w14:paraId="59AC22FE" w14:textId="77777777" w:rsidR="00312217" w:rsidRPr="00510163" w:rsidRDefault="00312217" w:rsidP="00312217">
            <w:pPr>
              <w:rPr>
                <w:rFonts w:ascii="Arial" w:hAnsi="Arial" w:cs="Arial"/>
                <w:szCs w:val="22"/>
              </w:rPr>
            </w:pPr>
            <w:r>
              <w:rPr>
                <w:rFonts w:ascii="Arial" w:hAnsi="Arial" w:cs="Arial"/>
                <w:szCs w:val="22"/>
              </w:rPr>
              <w:t>2016/17</w:t>
            </w:r>
          </w:p>
        </w:tc>
      </w:tr>
      <w:tr w:rsidR="00312217" w:rsidRPr="00510163" w14:paraId="4D90775F" w14:textId="77777777" w:rsidTr="00312217">
        <w:tc>
          <w:tcPr>
            <w:tcW w:w="1366" w:type="dxa"/>
          </w:tcPr>
          <w:p w14:paraId="6813CC9E" w14:textId="77777777" w:rsidR="00312217" w:rsidRPr="00510163" w:rsidRDefault="00312217" w:rsidP="00312217">
            <w:pPr>
              <w:rPr>
                <w:rFonts w:ascii="Arial" w:hAnsi="Arial" w:cs="Arial"/>
                <w:szCs w:val="22"/>
              </w:rPr>
            </w:pPr>
            <w:r w:rsidRPr="00510163">
              <w:rPr>
                <w:rFonts w:ascii="Arial" w:hAnsi="Arial" w:cs="Arial"/>
                <w:szCs w:val="22"/>
              </w:rPr>
              <w:t>£12.3m</w:t>
            </w:r>
          </w:p>
        </w:tc>
        <w:tc>
          <w:tcPr>
            <w:tcW w:w="1366" w:type="dxa"/>
          </w:tcPr>
          <w:p w14:paraId="5A9DB1C6" w14:textId="77777777" w:rsidR="00312217" w:rsidRPr="00510163" w:rsidRDefault="00312217" w:rsidP="00312217">
            <w:pPr>
              <w:rPr>
                <w:rFonts w:ascii="Arial" w:hAnsi="Arial" w:cs="Arial"/>
                <w:szCs w:val="22"/>
              </w:rPr>
            </w:pPr>
            <w:r w:rsidRPr="00510163">
              <w:rPr>
                <w:rFonts w:ascii="Arial" w:hAnsi="Arial" w:cs="Arial"/>
                <w:szCs w:val="22"/>
              </w:rPr>
              <w:t>£10.8m</w:t>
            </w:r>
          </w:p>
        </w:tc>
        <w:tc>
          <w:tcPr>
            <w:tcW w:w="1366" w:type="dxa"/>
          </w:tcPr>
          <w:p w14:paraId="6EB9D3BE" w14:textId="77777777" w:rsidR="00312217" w:rsidRPr="00510163" w:rsidRDefault="00312217" w:rsidP="00312217">
            <w:pPr>
              <w:rPr>
                <w:rFonts w:ascii="Arial" w:hAnsi="Arial" w:cs="Arial"/>
                <w:szCs w:val="22"/>
              </w:rPr>
            </w:pPr>
            <w:r w:rsidRPr="00510163">
              <w:rPr>
                <w:rFonts w:ascii="Arial" w:hAnsi="Arial" w:cs="Arial"/>
                <w:szCs w:val="22"/>
              </w:rPr>
              <w:t>£10.0m</w:t>
            </w:r>
          </w:p>
        </w:tc>
        <w:tc>
          <w:tcPr>
            <w:tcW w:w="1367" w:type="dxa"/>
          </w:tcPr>
          <w:p w14:paraId="69FCFF8E" w14:textId="77777777" w:rsidR="00312217" w:rsidRPr="00510163" w:rsidRDefault="00312217" w:rsidP="00312217">
            <w:pPr>
              <w:rPr>
                <w:rFonts w:ascii="Arial" w:hAnsi="Arial" w:cs="Arial"/>
                <w:szCs w:val="22"/>
              </w:rPr>
            </w:pPr>
            <w:r w:rsidRPr="00510163">
              <w:rPr>
                <w:rFonts w:ascii="Arial" w:hAnsi="Arial" w:cs="Arial"/>
                <w:szCs w:val="22"/>
              </w:rPr>
              <w:t>£9.7m</w:t>
            </w:r>
          </w:p>
        </w:tc>
        <w:tc>
          <w:tcPr>
            <w:tcW w:w="1367" w:type="dxa"/>
          </w:tcPr>
          <w:p w14:paraId="29E4DB34" w14:textId="77777777" w:rsidR="00312217" w:rsidRPr="00510163" w:rsidRDefault="00312217" w:rsidP="00312217">
            <w:pPr>
              <w:rPr>
                <w:rFonts w:ascii="Arial" w:hAnsi="Arial" w:cs="Arial"/>
                <w:szCs w:val="22"/>
              </w:rPr>
            </w:pPr>
            <w:r w:rsidRPr="00510163">
              <w:rPr>
                <w:rFonts w:ascii="Arial" w:hAnsi="Arial" w:cs="Arial"/>
                <w:szCs w:val="22"/>
              </w:rPr>
              <w:t>£9.6m</w:t>
            </w:r>
          </w:p>
        </w:tc>
        <w:tc>
          <w:tcPr>
            <w:tcW w:w="1367" w:type="dxa"/>
          </w:tcPr>
          <w:p w14:paraId="4BBA33F4" w14:textId="77777777" w:rsidR="00312217" w:rsidRPr="00510163" w:rsidRDefault="00312217" w:rsidP="00312217">
            <w:pPr>
              <w:rPr>
                <w:rFonts w:ascii="Arial" w:hAnsi="Arial" w:cs="Arial"/>
                <w:szCs w:val="22"/>
              </w:rPr>
            </w:pPr>
            <w:r w:rsidRPr="00510163">
              <w:rPr>
                <w:rFonts w:ascii="Arial" w:hAnsi="Arial" w:cs="Arial"/>
                <w:szCs w:val="22"/>
              </w:rPr>
              <w:t>£9.5m</w:t>
            </w:r>
          </w:p>
        </w:tc>
        <w:tc>
          <w:tcPr>
            <w:tcW w:w="1146" w:type="dxa"/>
          </w:tcPr>
          <w:p w14:paraId="4167FE38" w14:textId="77777777" w:rsidR="00312217" w:rsidRPr="00510163" w:rsidRDefault="00312217" w:rsidP="00312217">
            <w:pPr>
              <w:rPr>
                <w:rFonts w:ascii="Arial" w:hAnsi="Arial" w:cs="Arial"/>
                <w:szCs w:val="22"/>
              </w:rPr>
            </w:pPr>
            <w:r>
              <w:rPr>
                <w:rFonts w:ascii="Arial" w:hAnsi="Arial" w:cs="Arial"/>
                <w:szCs w:val="22"/>
              </w:rPr>
              <w:t>£9.4m</w:t>
            </w:r>
          </w:p>
        </w:tc>
      </w:tr>
    </w:tbl>
    <w:p w14:paraId="3A4046DD" w14:textId="77777777" w:rsidR="00312217" w:rsidRPr="00B73AE0" w:rsidRDefault="00312217" w:rsidP="00312217">
      <w:pPr>
        <w:rPr>
          <w:rFonts w:ascii="Arial" w:hAnsi="Arial" w:cs="Arial"/>
          <w:szCs w:val="22"/>
        </w:rPr>
      </w:pPr>
    </w:p>
    <w:p w14:paraId="4EEB4D79" w14:textId="77777777" w:rsidR="00312217" w:rsidRPr="00CD14AC" w:rsidRDefault="00312217" w:rsidP="00312217">
      <w:pPr>
        <w:pStyle w:val="ListParagraph"/>
        <w:numPr>
          <w:ilvl w:val="0"/>
          <w:numId w:val="1"/>
        </w:numPr>
        <w:rPr>
          <w:rFonts w:ascii="Arial" w:hAnsi="Arial" w:cs="Arial"/>
          <w:szCs w:val="22"/>
        </w:rPr>
      </w:pPr>
      <w:r w:rsidRPr="00CD14AC">
        <w:rPr>
          <w:rFonts w:ascii="Arial" w:hAnsi="Arial" w:cs="Arial"/>
          <w:szCs w:val="22"/>
        </w:rPr>
        <w:t>The subscriptions budget takes account of an annual discount of £500k in recognition of a £6.2m loan from Association of Metropolitan Authorities (AMA). LGA members that were formerly members of the AMA receive a discount on their membership subscriptions of £7,965 per annum.</w:t>
      </w:r>
    </w:p>
    <w:p w14:paraId="3407F5D9" w14:textId="77777777" w:rsidR="00BB72E0" w:rsidRDefault="00BB72E0" w:rsidP="003D7751">
      <w:pPr>
        <w:pStyle w:val="MainText"/>
        <w:spacing w:line="240" w:lineRule="auto"/>
        <w:rPr>
          <w:rFonts w:ascii="Arial" w:hAnsi="Arial" w:cs="Arial"/>
          <w:b/>
          <w:szCs w:val="22"/>
        </w:rPr>
      </w:pPr>
    </w:p>
    <w:p w14:paraId="306F45F9" w14:textId="226E85BE" w:rsidR="003D7751" w:rsidRPr="003B60F3" w:rsidRDefault="009F2767" w:rsidP="003B60F3">
      <w:pPr>
        <w:pStyle w:val="MainText"/>
        <w:spacing w:line="240" w:lineRule="auto"/>
        <w:rPr>
          <w:rFonts w:ascii="Arial" w:hAnsi="Arial" w:cs="Arial"/>
          <w:b/>
          <w:szCs w:val="22"/>
        </w:rPr>
      </w:pPr>
      <w:r>
        <w:rPr>
          <w:rFonts w:ascii="Arial" w:hAnsi="Arial" w:cs="Arial"/>
          <w:b/>
          <w:szCs w:val="22"/>
        </w:rPr>
        <w:t xml:space="preserve">Additional </w:t>
      </w:r>
      <w:r w:rsidR="003D7751" w:rsidRPr="00327056">
        <w:rPr>
          <w:rFonts w:ascii="Arial" w:hAnsi="Arial" w:cs="Arial"/>
          <w:b/>
          <w:szCs w:val="22"/>
        </w:rPr>
        <w:t>Comm</w:t>
      </w:r>
      <w:r w:rsidR="009E5733">
        <w:rPr>
          <w:rFonts w:ascii="Arial" w:hAnsi="Arial" w:cs="Arial"/>
          <w:b/>
          <w:szCs w:val="22"/>
        </w:rPr>
        <w:t>ercial Income –</w:t>
      </w:r>
      <w:r w:rsidR="003D7751">
        <w:rPr>
          <w:rFonts w:ascii="Arial" w:hAnsi="Arial" w:cs="Arial"/>
          <w:b/>
          <w:szCs w:val="22"/>
        </w:rPr>
        <w:t>£</w:t>
      </w:r>
      <w:r w:rsidR="00BB72E0">
        <w:rPr>
          <w:rFonts w:ascii="Arial" w:hAnsi="Arial" w:cs="Arial"/>
          <w:b/>
          <w:szCs w:val="22"/>
        </w:rPr>
        <w:t>2.</w:t>
      </w:r>
      <w:r>
        <w:rPr>
          <w:rFonts w:ascii="Arial" w:hAnsi="Arial" w:cs="Arial"/>
          <w:b/>
          <w:szCs w:val="22"/>
        </w:rPr>
        <w:t>0</w:t>
      </w:r>
      <w:r w:rsidR="003D7751">
        <w:rPr>
          <w:rFonts w:ascii="Arial" w:hAnsi="Arial" w:cs="Arial"/>
          <w:b/>
          <w:szCs w:val="22"/>
        </w:rPr>
        <w:t>M – (Row 1</w:t>
      </w:r>
      <w:r>
        <w:rPr>
          <w:rFonts w:ascii="Arial" w:hAnsi="Arial" w:cs="Arial"/>
          <w:b/>
          <w:szCs w:val="22"/>
        </w:rPr>
        <w:t>1</w:t>
      </w:r>
      <w:r w:rsidR="003D7751">
        <w:rPr>
          <w:rFonts w:ascii="Arial" w:hAnsi="Arial" w:cs="Arial"/>
          <w:b/>
          <w:szCs w:val="22"/>
        </w:rPr>
        <w:t>)</w:t>
      </w:r>
    </w:p>
    <w:p w14:paraId="37DC2784" w14:textId="77777777" w:rsidR="003D7751" w:rsidRPr="00327056" w:rsidRDefault="003D7751" w:rsidP="003D7751">
      <w:pPr>
        <w:pStyle w:val="ListParagraph"/>
        <w:numPr>
          <w:ilvl w:val="0"/>
          <w:numId w:val="1"/>
        </w:numPr>
        <w:rPr>
          <w:rFonts w:ascii="Arial" w:hAnsi="Arial" w:cs="Arial"/>
          <w:b/>
          <w:szCs w:val="22"/>
        </w:rPr>
      </w:pPr>
      <w:r w:rsidRPr="00CD14AC">
        <w:rPr>
          <w:rFonts w:ascii="Arial" w:hAnsi="Arial" w:cs="Arial"/>
          <w:szCs w:val="22"/>
        </w:rPr>
        <w:t xml:space="preserve">Our investment in the </w:t>
      </w:r>
      <w:proofErr w:type="spellStart"/>
      <w:r w:rsidRPr="00CD14AC">
        <w:rPr>
          <w:rFonts w:ascii="Arial" w:hAnsi="Arial" w:cs="Arial"/>
          <w:szCs w:val="22"/>
        </w:rPr>
        <w:t>Geoplace</w:t>
      </w:r>
      <w:proofErr w:type="spellEnd"/>
      <w:r w:rsidRPr="00CD14AC">
        <w:rPr>
          <w:rFonts w:ascii="Arial" w:hAnsi="Arial" w:cs="Arial"/>
          <w:szCs w:val="22"/>
        </w:rPr>
        <w:t xml:space="preserve"> Joint Venture with Ordnance Survey is projected to provide us with a dividend of £1.5m</w:t>
      </w:r>
      <w:r>
        <w:rPr>
          <w:rFonts w:ascii="Arial" w:hAnsi="Arial" w:cs="Arial"/>
          <w:szCs w:val="22"/>
        </w:rPr>
        <w:t xml:space="preserve">, the same as the budget for this year, albeit lower than the £1.75 forecast distribution by </w:t>
      </w:r>
      <w:proofErr w:type="spellStart"/>
      <w:r>
        <w:rPr>
          <w:rFonts w:ascii="Arial" w:hAnsi="Arial" w:cs="Arial"/>
          <w:szCs w:val="22"/>
        </w:rPr>
        <w:t>Geoplace</w:t>
      </w:r>
      <w:proofErr w:type="spellEnd"/>
      <w:r>
        <w:rPr>
          <w:rFonts w:ascii="Arial" w:hAnsi="Arial" w:cs="Arial"/>
          <w:szCs w:val="22"/>
        </w:rPr>
        <w:t xml:space="preserve"> for this year</w:t>
      </w:r>
      <w:r w:rsidRPr="00CD14AC">
        <w:rPr>
          <w:rFonts w:ascii="Arial" w:hAnsi="Arial" w:cs="Arial"/>
          <w:szCs w:val="22"/>
        </w:rPr>
        <w:t xml:space="preserve">. </w:t>
      </w:r>
      <w:r>
        <w:rPr>
          <w:rFonts w:ascii="Arial" w:hAnsi="Arial" w:cs="Arial"/>
          <w:szCs w:val="22"/>
        </w:rPr>
        <w:t xml:space="preserve">The budget for next year is based on their forecast revenues and surpluses for this financial year. </w:t>
      </w:r>
    </w:p>
    <w:p w14:paraId="13E4C66D" w14:textId="73DC58EB" w:rsidR="00D62AF7" w:rsidRDefault="003D7751" w:rsidP="003D7751">
      <w:pPr>
        <w:pStyle w:val="ListParagraph"/>
        <w:numPr>
          <w:ilvl w:val="0"/>
          <w:numId w:val="1"/>
        </w:numPr>
        <w:rPr>
          <w:rFonts w:ascii="Arial" w:hAnsi="Arial" w:cs="Arial"/>
          <w:szCs w:val="22"/>
        </w:rPr>
      </w:pPr>
      <w:r w:rsidRPr="00327056">
        <w:rPr>
          <w:rFonts w:ascii="Arial" w:hAnsi="Arial" w:cs="Arial"/>
          <w:szCs w:val="22"/>
        </w:rPr>
        <w:t xml:space="preserve">The budget for 2016/17 includes a target to deliver additional net income of £0.5m from </w:t>
      </w:r>
      <w:r>
        <w:rPr>
          <w:rFonts w:ascii="Arial" w:hAnsi="Arial" w:cs="Arial"/>
          <w:szCs w:val="22"/>
        </w:rPr>
        <w:t>n</w:t>
      </w:r>
      <w:r w:rsidRPr="00327056">
        <w:rPr>
          <w:rFonts w:ascii="Arial" w:hAnsi="Arial" w:cs="Arial"/>
          <w:szCs w:val="22"/>
        </w:rPr>
        <w:t>ew or extended income streams, e.g. Workforce, LG Inform, LG Develop and external property income streams.</w:t>
      </w:r>
      <w:r>
        <w:rPr>
          <w:rFonts w:ascii="Arial" w:hAnsi="Arial" w:cs="Arial"/>
          <w:szCs w:val="22"/>
        </w:rPr>
        <w:t xml:space="preserve"> This will</w:t>
      </w:r>
      <w:r w:rsidR="005A3DAD">
        <w:rPr>
          <w:rFonts w:ascii="Arial" w:hAnsi="Arial" w:cs="Arial"/>
          <w:szCs w:val="22"/>
        </w:rPr>
        <w:t xml:space="preserve"> assist in the shift in</w:t>
      </w:r>
      <w:r w:rsidRPr="00327056">
        <w:rPr>
          <w:rFonts w:ascii="Arial" w:hAnsi="Arial" w:cs="Arial"/>
          <w:szCs w:val="22"/>
        </w:rPr>
        <w:t xml:space="preserve"> our income profile </w:t>
      </w:r>
      <w:r w:rsidR="005A3DAD">
        <w:rPr>
          <w:rFonts w:ascii="Arial" w:hAnsi="Arial" w:cs="Arial"/>
          <w:szCs w:val="22"/>
        </w:rPr>
        <w:t>away from</w:t>
      </w:r>
      <w:r w:rsidR="009F2FA7">
        <w:rPr>
          <w:rFonts w:ascii="Arial" w:hAnsi="Arial" w:cs="Arial"/>
          <w:szCs w:val="22"/>
        </w:rPr>
        <w:t xml:space="preserve"> </w:t>
      </w:r>
      <w:r w:rsidRPr="00327056">
        <w:rPr>
          <w:rFonts w:ascii="Arial" w:hAnsi="Arial" w:cs="Arial"/>
          <w:szCs w:val="22"/>
        </w:rPr>
        <w:t xml:space="preserve">government grant funding </w:t>
      </w:r>
      <w:r w:rsidR="009F2FA7" w:rsidRPr="00327056">
        <w:rPr>
          <w:rFonts w:ascii="Arial" w:hAnsi="Arial" w:cs="Arial"/>
          <w:szCs w:val="22"/>
        </w:rPr>
        <w:t>to</w:t>
      </w:r>
      <w:r w:rsidR="009F2FA7">
        <w:rPr>
          <w:rFonts w:ascii="Arial" w:hAnsi="Arial" w:cs="Arial"/>
          <w:szCs w:val="22"/>
        </w:rPr>
        <w:t>wards</w:t>
      </w:r>
      <w:r w:rsidR="009F2FA7" w:rsidRPr="00327056">
        <w:rPr>
          <w:rFonts w:ascii="Arial" w:hAnsi="Arial" w:cs="Arial"/>
          <w:szCs w:val="22"/>
        </w:rPr>
        <w:t xml:space="preserve"> earned</w:t>
      </w:r>
      <w:r w:rsidR="005A3DAD">
        <w:rPr>
          <w:rFonts w:ascii="Arial" w:hAnsi="Arial" w:cs="Arial"/>
          <w:szCs w:val="22"/>
        </w:rPr>
        <w:t xml:space="preserve"> income</w:t>
      </w:r>
      <w:r w:rsidR="009F2FA7">
        <w:rPr>
          <w:rFonts w:ascii="Arial" w:hAnsi="Arial" w:cs="Arial"/>
          <w:szCs w:val="22"/>
        </w:rPr>
        <w:t>.</w:t>
      </w:r>
    </w:p>
    <w:p w14:paraId="71EAC391" w14:textId="77777777" w:rsidR="00F50C9D" w:rsidRDefault="00F50C9D">
      <w:pPr>
        <w:spacing w:after="160" w:line="259" w:lineRule="auto"/>
        <w:rPr>
          <w:rFonts w:ascii="Arial" w:hAnsi="Arial" w:cs="Arial"/>
          <w:b/>
          <w:szCs w:val="22"/>
        </w:rPr>
      </w:pPr>
      <w:r>
        <w:rPr>
          <w:rFonts w:ascii="Arial" w:hAnsi="Arial" w:cs="Arial"/>
          <w:b/>
          <w:szCs w:val="22"/>
        </w:rPr>
        <w:br w:type="page"/>
      </w:r>
    </w:p>
    <w:p w14:paraId="4F232AF1" w14:textId="3B48C643" w:rsidR="003D7751" w:rsidRDefault="003D7751" w:rsidP="003D7751">
      <w:pPr>
        <w:pStyle w:val="MainText"/>
        <w:spacing w:line="240" w:lineRule="auto"/>
        <w:rPr>
          <w:rFonts w:ascii="Arial" w:hAnsi="Arial" w:cs="Arial"/>
          <w:b/>
          <w:szCs w:val="22"/>
        </w:rPr>
      </w:pPr>
      <w:r>
        <w:rPr>
          <w:rFonts w:ascii="Arial" w:hAnsi="Arial" w:cs="Arial"/>
          <w:b/>
          <w:szCs w:val="22"/>
        </w:rPr>
        <w:lastRenderedPageBreak/>
        <w:t>Property companies</w:t>
      </w:r>
    </w:p>
    <w:p w14:paraId="13333499" w14:textId="77777777" w:rsidR="003D7751" w:rsidRDefault="003D7751" w:rsidP="003D7751">
      <w:pPr>
        <w:pStyle w:val="ListParagraph"/>
        <w:numPr>
          <w:ilvl w:val="0"/>
          <w:numId w:val="1"/>
        </w:numPr>
        <w:spacing w:after="0"/>
      </w:pPr>
      <w:r>
        <w:t>The agreed strategy for the property companies is to develop the assets to provide capital growth to offset the liabilities arising from our pension funds, as well as reducing costs and / or delivering additional commercial income to maximise the level of support we deliver to our members.</w:t>
      </w:r>
    </w:p>
    <w:p w14:paraId="2E7596BE" w14:textId="77777777" w:rsidR="003D7751" w:rsidRPr="00077596" w:rsidRDefault="003D7751" w:rsidP="003D7751">
      <w:pPr>
        <w:pStyle w:val="ListParagraph"/>
        <w:numPr>
          <w:ilvl w:val="0"/>
          <w:numId w:val="1"/>
        </w:numPr>
        <w:spacing w:after="0"/>
      </w:pPr>
      <w:r>
        <w:t xml:space="preserve">The recommended strategy </w:t>
      </w:r>
      <w:r w:rsidR="000F2D1C">
        <w:t>during</w:t>
      </w:r>
      <w:r>
        <w:t xml:space="preserve"> the development of the properties is to offset the</w:t>
      </w:r>
      <w:r w:rsidRPr="00547998">
        <w:t xml:space="preserve"> </w:t>
      </w:r>
      <w:r>
        <w:t>Revenue deficits against the Balance Sheet General reserves of the 2 companies. This will avoid revenue funds being diverted from the LGA and IDEA, during the development phases of each redevelopment project. The property companies will fund the projects from a combination of internal and external loans, improving the returns on the LGA’s existing cash balances.</w:t>
      </w:r>
    </w:p>
    <w:p w14:paraId="7024C399" w14:textId="77777777" w:rsidR="003D7751" w:rsidRDefault="003D7751" w:rsidP="003D7751">
      <w:pPr>
        <w:pStyle w:val="MainText"/>
        <w:spacing w:line="240" w:lineRule="auto"/>
        <w:rPr>
          <w:rFonts w:ascii="Arial" w:hAnsi="Arial" w:cs="Arial"/>
          <w:b/>
          <w:szCs w:val="22"/>
        </w:rPr>
      </w:pPr>
    </w:p>
    <w:p w14:paraId="4D70B6D9" w14:textId="1370D052" w:rsidR="003D7751" w:rsidRPr="00CD14AC" w:rsidRDefault="003D7751" w:rsidP="003D7751">
      <w:pPr>
        <w:pStyle w:val="MainText"/>
        <w:spacing w:line="240" w:lineRule="auto"/>
        <w:rPr>
          <w:rFonts w:ascii="Arial" w:hAnsi="Arial" w:cs="Arial"/>
          <w:b/>
          <w:szCs w:val="22"/>
        </w:rPr>
      </w:pPr>
      <w:r w:rsidRPr="0065272B">
        <w:rPr>
          <w:rFonts w:ascii="Arial" w:hAnsi="Arial" w:cs="Arial"/>
          <w:b/>
          <w:szCs w:val="22"/>
        </w:rPr>
        <w:t>LGMB –</w:t>
      </w:r>
      <w:r w:rsidR="009F2767">
        <w:rPr>
          <w:rFonts w:ascii="Arial" w:hAnsi="Arial" w:cs="Arial"/>
          <w:b/>
          <w:szCs w:val="22"/>
        </w:rPr>
        <w:t xml:space="preserve"> </w:t>
      </w:r>
      <w:r w:rsidR="0065272B" w:rsidRPr="0065272B">
        <w:rPr>
          <w:rFonts w:ascii="Arial" w:hAnsi="Arial" w:cs="Arial"/>
          <w:b/>
          <w:szCs w:val="22"/>
        </w:rPr>
        <w:t>£0.1</w:t>
      </w:r>
      <w:r w:rsidRPr="0065272B">
        <w:rPr>
          <w:rFonts w:ascii="Arial" w:hAnsi="Arial" w:cs="Arial"/>
          <w:b/>
          <w:szCs w:val="22"/>
        </w:rPr>
        <w:t>m deficit – (Row 1</w:t>
      </w:r>
      <w:r w:rsidR="009F2767">
        <w:rPr>
          <w:rFonts w:ascii="Arial" w:hAnsi="Arial" w:cs="Arial"/>
          <w:b/>
          <w:szCs w:val="22"/>
        </w:rPr>
        <w:t>2</w:t>
      </w:r>
      <w:r w:rsidRPr="0065272B">
        <w:rPr>
          <w:rFonts w:ascii="Arial" w:hAnsi="Arial" w:cs="Arial"/>
          <w:b/>
          <w:szCs w:val="22"/>
        </w:rPr>
        <w:t>)</w:t>
      </w:r>
    </w:p>
    <w:p w14:paraId="78237CD1" w14:textId="77777777" w:rsidR="003D7751" w:rsidRPr="00CD14AC" w:rsidRDefault="003D7751" w:rsidP="003D7751">
      <w:pPr>
        <w:pStyle w:val="ListParagraph"/>
        <w:numPr>
          <w:ilvl w:val="0"/>
          <w:numId w:val="1"/>
        </w:numPr>
        <w:rPr>
          <w:rFonts w:ascii="Arial" w:hAnsi="Arial" w:cs="Arial"/>
          <w:szCs w:val="22"/>
        </w:rPr>
      </w:pPr>
      <w:r w:rsidRPr="003B60F3">
        <w:rPr>
          <w:rFonts w:ascii="Arial" w:hAnsi="Arial" w:cs="Arial"/>
          <w:szCs w:val="22"/>
        </w:rPr>
        <w:t>There will be no rental income from Layden House during 2</w:t>
      </w:r>
      <w:r w:rsidR="000F2D1C" w:rsidRPr="003B60F3">
        <w:rPr>
          <w:rFonts w:ascii="Arial" w:hAnsi="Arial" w:cs="Arial"/>
          <w:szCs w:val="22"/>
        </w:rPr>
        <w:t>016/17</w:t>
      </w:r>
      <w:r w:rsidR="003B60F3" w:rsidRPr="003B60F3">
        <w:rPr>
          <w:rFonts w:ascii="Arial" w:hAnsi="Arial" w:cs="Arial"/>
          <w:szCs w:val="22"/>
        </w:rPr>
        <w:t xml:space="preserve"> due to the refurbishment this </w:t>
      </w:r>
      <w:r w:rsidR="000F2D1C" w:rsidRPr="003B60F3">
        <w:rPr>
          <w:rFonts w:ascii="Arial" w:hAnsi="Arial" w:cs="Arial"/>
          <w:szCs w:val="22"/>
        </w:rPr>
        <w:t xml:space="preserve">will be </w:t>
      </w:r>
      <w:r w:rsidR="003B60F3" w:rsidRPr="003B60F3">
        <w:rPr>
          <w:rFonts w:ascii="Arial" w:hAnsi="Arial" w:cs="Arial"/>
          <w:szCs w:val="22"/>
        </w:rPr>
        <w:t>o</w:t>
      </w:r>
      <w:r w:rsidRPr="003B60F3">
        <w:rPr>
          <w:rFonts w:ascii="Arial" w:hAnsi="Arial" w:cs="Arial"/>
          <w:szCs w:val="22"/>
        </w:rPr>
        <w:t>ffset</w:t>
      </w:r>
      <w:r>
        <w:rPr>
          <w:rFonts w:ascii="Arial" w:hAnsi="Arial" w:cs="Arial"/>
          <w:szCs w:val="22"/>
        </w:rPr>
        <w:t xml:space="preserve"> by reduced costs </w:t>
      </w:r>
      <w:r w:rsidR="00395230">
        <w:rPr>
          <w:rFonts w:ascii="Arial" w:hAnsi="Arial" w:cs="Arial"/>
          <w:szCs w:val="22"/>
        </w:rPr>
        <w:t>of £318k</w:t>
      </w:r>
      <w:r>
        <w:rPr>
          <w:rFonts w:ascii="Arial" w:hAnsi="Arial" w:cs="Arial"/>
          <w:szCs w:val="22"/>
        </w:rPr>
        <w:t>, with a net effect of £446k.</w:t>
      </w:r>
    </w:p>
    <w:p w14:paraId="047863E7" w14:textId="77777777" w:rsidR="003D7751" w:rsidRDefault="003D7751" w:rsidP="003D7751">
      <w:pPr>
        <w:pStyle w:val="ListParagraph"/>
        <w:numPr>
          <w:ilvl w:val="0"/>
          <w:numId w:val="1"/>
        </w:numPr>
        <w:rPr>
          <w:rFonts w:ascii="Arial" w:hAnsi="Arial" w:cs="Arial"/>
          <w:szCs w:val="22"/>
        </w:rPr>
      </w:pPr>
      <w:r>
        <w:rPr>
          <w:rFonts w:ascii="Arial" w:hAnsi="Arial" w:cs="Arial"/>
          <w:szCs w:val="22"/>
        </w:rPr>
        <w:t>The</w:t>
      </w:r>
      <w:r w:rsidRPr="00CD14AC">
        <w:rPr>
          <w:rFonts w:ascii="Arial" w:hAnsi="Arial" w:cs="Arial"/>
          <w:szCs w:val="22"/>
        </w:rPr>
        <w:t xml:space="preserve"> major refurbishment of Layden House </w:t>
      </w:r>
      <w:r>
        <w:rPr>
          <w:rFonts w:ascii="Arial" w:hAnsi="Arial" w:cs="Arial"/>
          <w:szCs w:val="22"/>
        </w:rPr>
        <w:t xml:space="preserve">project is moving forward with </w:t>
      </w:r>
      <w:r w:rsidRPr="00CD14AC">
        <w:rPr>
          <w:rFonts w:ascii="Arial" w:hAnsi="Arial" w:cs="Arial"/>
          <w:szCs w:val="22"/>
        </w:rPr>
        <w:t xml:space="preserve">vacant possession from April 2016. </w:t>
      </w:r>
      <w:r>
        <w:rPr>
          <w:rFonts w:ascii="Arial" w:hAnsi="Arial" w:cs="Arial"/>
          <w:szCs w:val="22"/>
        </w:rPr>
        <w:t xml:space="preserve">Building works are expected to start in </w:t>
      </w:r>
      <w:r w:rsidR="00395230">
        <w:rPr>
          <w:rFonts w:ascii="Arial" w:hAnsi="Arial" w:cs="Arial"/>
          <w:szCs w:val="22"/>
        </w:rPr>
        <w:t>Spring 2016</w:t>
      </w:r>
      <w:r>
        <w:rPr>
          <w:rFonts w:ascii="Arial" w:hAnsi="Arial" w:cs="Arial"/>
          <w:szCs w:val="22"/>
        </w:rPr>
        <w:t>.</w:t>
      </w:r>
    </w:p>
    <w:p w14:paraId="199D3FB4" w14:textId="670CEDAA" w:rsidR="003D7751" w:rsidRPr="003B60F3" w:rsidRDefault="003D7751" w:rsidP="003B60F3">
      <w:pPr>
        <w:pStyle w:val="MainText"/>
        <w:spacing w:line="240" w:lineRule="auto"/>
        <w:rPr>
          <w:rFonts w:ascii="Arial" w:hAnsi="Arial" w:cs="Arial"/>
          <w:b/>
          <w:szCs w:val="22"/>
        </w:rPr>
      </w:pPr>
      <w:r w:rsidRPr="007004DC">
        <w:rPr>
          <w:rFonts w:ascii="Arial" w:hAnsi="Arial" w:cs="Arial"/>
          <w:b/>
          <w:szCs w:val="22"/>
        </w:rPr>
        <w:t xml:space="preserve">LGA properties – Local Government House </w:t>
      </w:r>
      <w:r w:rsidR="009E5733" w:rsidRPr="007004DC">
        <w:rPr>
          <w:rFonts w:ascii="Arial" w:hAnsi="Arial" w:cs="Arial"/>
          <w:b/>
          <w:szCs w:val="22"/>
        </w:rPr>
        <w:t>£1.</w:t>
      </w:r>
      <w:r w:rsidR="000B2252" w:rsidRPr="007004DC">
        <w:rPr>
          <w:rFonts w:ascii="Arial" w:hAnsi="Arial" w:cs="Arial"/>
          <w:b/>
          <w:szCs w:val="22"/>
        </w:rPr>
        <w:t>7</w:t>
      </w:r>
      <w:r w:rsidR="004C39A8" w:rsidRPr="007004DC">
        <w:rPr>
          <w:rFonts w:ascii="Arial" w:hAnsi="Arial" w:cs="Arial"/>
          <w:b/>
          <w:szCs w:val="22"/>
        </w:rPr>
        <w:t>m deficit (Row 1</w:t>
      </w:r>
      <w:r w:rsidR="009F2767">
        <w:rPr>
          <w:rFonts w:ascii="Arial" w:hAnsi="Arial" w:cs="Arial"/>
          <w:b/>
          <w:szCs w:val="22"/>
        </w:rPr>
        <w:t>3</w:t>
      </w:r>
      <w:r w:rsidRPr="007004DC">
        <w:rPr>
          <w:rFonts w:ascii="Arial" w:hAnsi="Arial" w:cs="Arial"/>
          <w:b/>
          <w:szCs w:val="22"/>
        </w:rPr>
        <w:t>)</w:t>
      </w:r>
    </w:p>
    <w:p w14:paraId="40A1AB5E" w14:textId="19F4C4A8" w:rsidR="003B60F3" w:rsidRPr="003B60F3" w:rsidRDefault="000B2252" w:rsidP="001806B5">
      <w:pPr>
        <w:pStyle w:val="ListParagraph"/>
        <w:numPr>
          <w:ilvl w:val="0"/>
          <w:numId w:val="1"/>
        </w:numPr>
        <w:rPr>
          <w:rFonts w:ascii="Arial" w:hAnsi="Arial" w:cs="Arial"/>
          <w:b/>
          <w:szCs w:val="22"/>
        </w:rPr>
      </w:pPr>
      <w:r>
        <w:rPr>
          <w:rFonts w:ascii="Arial" w:hAnsi="Arial" w:cs="Arial"/>
          <w:szCs w:val="22"/>
        </w:rPr>
        <w:t xml:space="preserve">The consolidated summary excludes inter-company rents from within the group. The </w:t>
      </w:r>
      <w:r w:rsidR="001E1C43">
        <w:rPr>
          <w:rFonts w:ascii="Arial" w:hAnsi="Arial" w:cs="Arial"/>
          <w:szCs w:val="22"/>
        </w:rPr>
        <w:t xml:space="preserve">additional external costs in </w:t>
      </w:r>
      <w:r w:rsidR="003D7751" w:rsidRPr="003B60F3">
        <w:rPr>
          <w:rFonts w:ascii="Arial" w:hAnsi="Arial" w:cs="Arial"/>
          <w:szCs w:val="22"/>
        </w:rPr>
        <w:t xml:space="preserve">2016/17 </w:t>
      </w:r>
      <w:r w:rsidR="001E1C43">
        <w:rPr>
          <w:rFonts w:ascii="Arial" w:hAnsi="Arial" w:cs="Arial"/>
          <w:szCs w:val="22"/>
        </w:rPr>
        <w:t xml:space="preserve">are driven by a combination of reduced depreciation </w:t>
      </w:r>
      <w:r w:rsidR="003D7751" w:rsidRPr="003B60F3">
        <w:rPr>
          <w:rFonts w:ascii="Arial" w:hAnsi="Arial" w:cs="Arial"/>
          <w:szCs w:val="22"/>
        </w:rPr>
        <w:t xml:space="preserve">due to </w:t>
      </w:r>
      <w:r w:rsidR="001E1C43">
        <w:rPr>
          <w:rFonts w:ascii="Arial" w:hAnsi="Arial" w:cs="Arial"/>
          <w:szCs w:val="22"/>
        </w:rPr>
        <w:t xml:space="preserve">changes in accounting standards (FRS102), </w:t>
      </w:r>
      <w:r w:rsidR="007004DC">
        <w:rPr>
          <w:rFonts w:ascii="Arial" w:hAnsi="Arial" w:cs="Arial"/>
          <w:szCs w:val="22"/>
        </w:rPr>
        <w:t xml:space="preserve">increased interest to finance the planned development of LGH and reduced external rental income during the </w:t>
      </w:r>
      <w:r w:rsidR="003D7751" w:rsidRPr="003B60F3">
        <w:rPr>
          <w:rFonts w:ascii="Arial" w:hAnsi="Arial" w:cs="Arial"/>
          <w:szCs w:val="22"/>
        </w:rPr>
        <w:t>development from August</w:t>
      </w:r>
      <w:r w:rsidR="003B60F3" w:rsidRPr="003B60F3">
        <w:rPr>
          <w:rFonts w:ascii="Arial" w:hAnsi="Arial" w:cs="Arial"/>
          <w:szCs w:val="22"/>
        </w:rPr>
        <w:t xml:space="preserve"> 2016</w:t>
      </w:r>
      <w:r w:rsidR="003B60F3">
        <w:rPr>
          <w:rFonts w:ascii="Arial" w:hAnsi="Arial" w:cs="Arial"/>
          <w:szCs w:val="22"/>
        </w:rPr>
        <w:t>.</w:t>
      </w:r>
    </w:p>
    <w:p w14:paraId="1537F9DC" w14:textId="4D8FDBA6" w:rsidR="003D7751" w:rsidRPr="003B60F3" w:rsidRDefault="003D7751" w:rsidP="001806B5">
      <w:pPr>
        <w:pStyle w:val="ListParagraph"/>
        <w:numPr>
          <w:ilvl w:val="0"/>
          <w:numId w:val="1"/>
        </w:numPr>
        <w:rPr>
          <w:rFonts w:ascii="Arial" w:hAnsi="Arial" w:cs="Arial"/>
          <w:b/>
          <w:szCs w:val="22"/>
        </w:rPr>
      </w:pPr>
      <w:r w:rsidRPr="003B60F3">
        <w:rPr>
          <w:rFonts w:ascii="Arial" w:hAnsi="Arial" w:cs="Arial"/>
          <w:szCs w:val="22"/>
        </w:rPr>
        <w:t xml:space="preserve">Additional costs for the company in 2016/17 include </w:t>
      </w:r>
      <w:r w:rsidR="00395230" w:rsidRPr="003B60F3">
        <w:rPr>
          <w:rFonts w:ascii="Arial" w:hAnsi="Arial" w:cs="Arial"/>
          <w:szCs w:val="22"/>
        </w:rPr>
        <w:t>£270k</w:t>
      </w:r>
      <w:r w:rsidRPr="003B60F3">
        <w:rPr>
          <w:rFonts w:ascii="Arial" w:hAnsi="Arial" w:cs="Arial"/>
          <w:szCs w:val="22"/>
        </w:rPr>
        <w:t xml:space="preserve"> for borrowing costs, and </w:t>
      </w:r>
      <w:r w:rsidR="00395230" w:rsidRPr="003B60F3">
        <w:rPr>
          <w:rFonts w:ascii="Arial" w:hAnsi="Arial" w:cs="Arial"/>
          <w:szCs w:val="22"/>
        </w:rPr>
        <w:t xml:space="preserve">£285k </w:t>
      </w:r>
      <w:r w:rsidR="00DF285D" w:rsidRPr="003B60F3">
        <w:rPr>
          <w:rFonts w:ascii="Arial" w:hAnsi="Arial" w:cs="Arial"/>
          <w:szCs w:val="22"/>
        </w:rPr>
        <w:t xml:space="preserve">for other </w:t>
      </w:r>
      <w:r w:rsidR="0065272B">
        <w:rPr>
          <w:rFonts w:ascii="Arial" w:hAnsi="Arial" w:cs="Arial"/>
          <w:szCs w:val="22"/>
        </w:rPr>
        <w:t xml:space="preserve">running </w:t>
      </w:r>
      <w:r w:rsidR="00DF285D" w:rsidRPr="003B60F3">
        <w:rPr>
          <w:rFonts w:ascii="Arial" w:hAnsi="Arial" w:cs="Arial"/>
          <w:szCs w:val="22"/>
        </w:rPr>
        <w:t>costs.</w:t>
      </w:r>
    </w:p>
    <w:p w14:paraId="1F79360E" w14:textId="77777777" w:rsidR="003B60F3" w:rsidRDefault="003B60F3" w:rsidP="00CD14AC">
      <w:pPr>
        <w:pStyle w:val="MainText"/>
        <w:spacing w:line="240" w:lineRule="auto"/>
        <w:rPr>
          <w:rFonts w:ascii="Arial" w:hAnsi="Arial" w:cs="Arial"/>
          <w:b/>
          <w:szCs w:val="22"/>
        </w:rPr>
      </w:pPr>
    </w:p>
    <w:p w14:paraId="081B755B" w14:textId="7B5D6550" w:rsidR="00CD14AC" w:rsidRPr="003B60F3" w:rsidRDefault="00312217" w:rsidP="003B60F3">
      <w:pPr>
        <w:pStyle w:val="MainText"/>
        <w:spacing w:line="240" w:lineRule="auto"/>
        <w:rPr>
          <w:rFonts w:ascii="Arial" w:hAnsi="Arial" w:cs="Arial"/>
          <w:b/>
          <w:szCs w:val="22"/>
        </w:rPr>
      </w:pPr>
      <w:r>
        <w:rPr>
          <w:rFonts w:ascii="Arial" w:hAnsi="Arial" w:cs="Arial"/>
          <w:b/>
          <w:szCs w:val="22"/>
        </w:rPr>
        <w:t xml:space="preserve">Grants and </w:t>
      </w:r>
      <w:r w:rsidR="00CD14AC" w:rsidRPr="00CD14AC">
        <w:rPr>
          <w:rFonts w:ascii="Arial" w:hAnsi="Arial" w:cs="Arial"/>
          <w:b/>
          <w:szCs w:val="22"/>
        </w:rPr>
        <w:t>Ring-fenc</w:t>
      </w:r>
      <w:r w:rsidR="000F2D1C">
        <w:rPr>
          <w:rFonts w:ascii="Arial" w:hAnsi="Arial" w:cs="Arial"/>
          <w:b/>
          <w:szCs w:val="22"/>
        </w:rPr>
        <w:t xml:space="preserve">ed funding </w:t>
      </w:r>
      <w:r w:rsidR="000F2D1C" w:rsidRPr="003B60F3">
        <w:rPr>
          <w:rFonts w:ascii="Arial" w:hAnsi="Arial" w:cs="Arial"/>
          <w:b/>
          <w:szCs w:val="22"/>
        </w:rPr>
        <w:t>–</w:t>
      </w:r>
      <w:r w:rsidR="009F2FA7">
        <w:rPr>
          <w:rFonts w:ascii="Arial" w:hAnsi="Arial" w:cs="Arial"/>
          <w:b/>
          <w:szCs w:val="22"/>
        </w:rPr>
        <w:t xml:space="preserve"> </w:t>
      </w:r>
      <w:r w:rsidR="003B60F3" w:rsidRPr="003B60F3">
        <w:rPr>
          <w:rFonts w:ascii="Arial" w:hAnsi="Arial" w:cs="Arial"/>
          <w:b/>
          <w:szCs w:val="22"/>
        </w:rPr>
        <w:t>£</w:t>
      </w:r>
      <w:r w:rsidR="007049A2" w:rsidRPr="003B60F3">
        <w:rPr>
          <w:rFonts w:ascii="Arial" w:hAnsi="Arial" w:cs="Arial"/>
          <w:b/>
          <w:szCs w:val="22"/>
        </w:rPr>
        <w:t>0.9</w:t>
      </w:r>
      <w:r w:rsidR="00CD14AC" w:rsidRPr="003B60F3">
        <w:rPr>
          <w:rFonts w:ascii="Arial" w:hAnsi="Arial" w:cs="Arial"/>
          <w:b/>
          <w:szCs w:val="22"/>
        </w:rPr>
        <w:t>m</w:t>
      </w:r>
      <w:r w:rsidR="009F2767">
        <w:rPr>
          <w:rFonts w:ascii="Arial" w:hAnsi="Arial" w:cs="Arial"/>
          <w:b/>
          <w:szCs w:val="22"/>
        </w:rPr>
        <w:t xml:space="preserve"> (Row 14</w:t>
      </w:r>
      <w:r w:rsidR="004A23C4">
        <w:rPr>
          <w:rFonts w:ascii="Arial" w:hAnsi="Arial" w:cs="Arial"/>
          <w:b/>
          <w:szCs w:val="22"/>
        </w:rPr>
        <w:t>)</w:t>
      </w:r>
    </w:p>
    <w:p w14:paraId="2071D55D"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The </w:t>
      </w:r>
      <w:r w:rsidRPr="003B60F3">
        <w:rPr>
          <w:rFonts w:ascii="Arial" w:hAnsi="Arial" w:cs="Arial"/>
          <w:szCs w:val="22"/>
        </w:rPr>
        <w:t xml:space="preserve">LGA </w:t>
      </w:r>
      <w:r w:rsidR="00C33D64" w:rsidRPr="003B60F3">
        <w:rPr>
          <w:rFonts w:ascii="Arial" w:hAnsi="Arial" w:cs="Arial"/>
          <w:szCs w:val="22"/>
        </w:rPr>
        <w:t>continue to attract</w:t>
      </w:r>
      <w:r w:rsidR="003B60F3" w:rsidRPr="003B60F3">
        <w:rPr>
          <w:rFonts w:ascii="Arial" w:hAnsi="Arial" w:cs="Arial"/>
          <w:szCs w:val="22"/>
        </w:rPr>
        <w:t xml:space="preserve"> successful</w:t>
      </w:r>
      <w:r w:rsidRPr="003B60F3">
        <w:rPr>
          <w:rFonts w:ascii="Arial" w:hAnsi="Arial" w:cs="Arial"/>
          <w:szCs w:val="22"/>
        </w:rPr>
        <w:t xml:space="preserve"> funding for other programmes.</w:t>
      </w:r>
      <w:r w:rsidR="00312217" w:rsidRPr="003B60F3">
        <w:rPr>
          <w:rFonts w:ascii="Arial" w:hAnsi="Arial" w:cs="Arial"/>
          <w:szCs w:val="22"/>
        </w:rPr>
        <w:t xml:space="preserve"> These schemes are an important source of</w:t>
      </w:r>
      <w:r w:rsidR="003B60F3">
        <w:rPr>
          <w:rFonts w:ascii="Arial" w:hAnsi="Arial" w:cs="Arial"/>
          <w:szCs w:val="22"/>
        </w:rPr>
        <w:t xml:space="preserve"> income</w:t>
      </w:r>
      <w:r w:rsidR="004A23C4" w:rsidRPr="003B60F3">
        <w:rPr>
          <w:rFonts w:ascii="Arial" w:hAnsi="Arial" w:cs="Arial"/>
          <w:szCs w:val="22"/>
        </w:rPr>
        <w:t>. C</w:t>
      </w:r>
      <w:r w:rsidR="007049A2" w:rsidRPr="003B60F3">
        <w:rPr>
          <w:rFonts w:ascii="Arial" w:hAnsi="Arial" w:cs="Arial"/>
          <w:szCs w:val="22"/>
        </w:rPr>
        <w:t>ontracted schemes for 201</w:t>
      </w:r>
      <w:r w:rsidR="004A23C4" w:rsidRPr="003B60F3">
        <w:rPr>
          <w:rFonts w:ascii="Arial" w:hAnsi="Arial" w:cs="Arial"/>
          <w:szCs w:val="22"/>
        </w:rPr>
        <w:t>5/16</w:t>
      </w:r>
      <w:r w:rsidR="007049A2" w:rsidRPr="003B60F3">
        <w:rPr>
          <w:rFonts w:ascii="Arial" w:hAnsi="Arial" w:cs="Arial"/>
          <w:szCs w:val="22"/>
        </w:rPr>
        <w:t xml:space="preserve"> are expected to be £</w:t>
      </w:r>
      <w:r w:rsidR="00DF285D" w:rsidRPr="003B60F3">
        <w:rPr>
          <w:rFonts w:ascii="Arial" w:hAnsi="Arial" w:cs="Arial"/>
          <w:szCs w:val="22"/>
        </w:rPr>
        <w:t>13.9</w:t>
      </w:r>
      <w:r w:rsidR="007049A2" w:rsidRPr="003B60F3">
        <w:rPr>
          <w:rFonts w:ascii="Arial" w:hAnsi="Arial" w:cs="Arial"/>
          <w:szCs w:val="22"/>
        </w:rPr>
        <w:t>m, delivering a c</w:t>
      </w:r>
      <w:r w:rsidR="00DF285D" w:rsidRPr="003B60F3">
        <w:rPr>
          <w:rFonts w:ascii="Arial" w:hAnsi="Arial" w:cs="Arial"/>
          <w:szCs w:val="22"/>
        </w:rPr>
        <w:t>ontribution to overheads of £1.35</w:t>
      </w:r>
      <w:r w:rsidR="007049A2" w:rsidRPr="003B60F3">
        <w:rPr>
          <w:rFonts w:ascii="Arial" w:hAnsi="Arial" w:cs="Arial"/>
          <w:szCs w:val="22"/>
        </w:rPr>
        <w:t>m.</w:t>
      </w:r>
      <w:r w:rsidR="007049A2">
        <w:rPr>
          <w:rFonts w:ascii="Arial" w:hAnsi="Arial" w:cs="Arial"/>
          <w:szCs w:val="22"/>
        </w:rPr>
        <w:t xml:space="preserve"> </w:t>
      </w:r>
      <w:r w:rsidRPr="00CD14AC">
        <w:rPr>
          <w:rFonts w:ascii="Arial" w:hAnsi="Arial" w:cs="Arial"/>
          <w:szCs w:val="22"/>
        </w:rPr>
        <w:t xml:space="preserve"> For </w:t>
      </w:r>
      <w:r w:rsidR="00B73AE0">
        <w:rPr>
          <w:rFonts w:ascii="Arial" w:hAnsi="Arial" w:cs="Arial"/>
          <w:szCs w:val="22"/>
        </w:rPr>
        <w:t>2016/17</w:t>
      </w:r>
      <w:r w:rsidRPr="00CD14AC">
        <w:rPr>
          <w:rFonts w:ascii="Arial" w:hAnsi="Arial" w:cs="Arial"/>
          <w:szCs w:val="22"/>
        </w:rPr>
        <w:t xml:space="preserve"> the most significant grants are</w:t>
      </w:r>
      <w:r w:rsidR="00510163">
        <w:rPr>
          <w:rFonts w:ascii="Arial" w:hAnsi="Arial" w:cs="Arial"/>
          <w:szCs w:val="22"/>
        </w:rPr>
        <w:t xml:space="preserve"> expected to be</w:t>
      </w:r>
      <w:r w:rsidRPr="00CD14AC">
        <w:rPr>
          <w:rFonts w:ascii="Arial" w:hAnsi="Arial" w:cs="Arial"/>
          <w:szCs w:val="22"/>
        </w:rPr>
        <w:t xml:space="preserve">: </w:t>
      </w:r>
    </w:p>
    <w:p w14:paraId="4A131831" w14:textId="77777777" w:rsidR="00CD14AC" w:rsidRPr="00DF285D" w:rsidRDefault="00CD14AC" w:rsidP="00C05DFE">
      <w:pPr>
        <w:pStyle w:val="ListParagraph"/>
        <w:numPr>
          <w:ilvl w:val="2"/>
          <w:numId w:val="5"/>
        </w:numPr>
        <w:rPr>
          <w:rFonts w:ascii="Arial" w:hAnsi="Arial" w:cs="Arial"/>
          <w:szCs w:val="22"/>
        </w:rPr>
      </w:pPr>
      <w:r w:rsidRPr="00DF285D">
        <w:rPr>
          <w:rFonts w:ascii="Arial" w:hAnsi="Arial" w:cs="Arial"/>
          <w:szCs w:val="22"/>
        </w:rPr>
        <w:t>Care &amp; Health Programmes (£</w:t>
      </w:r>
      <w:r w:rsidR="00DF285D" w:rsidRPr="00DF285D">
        <w:rPr>
          <w:rFonts w:ascii="Arial" w:hAnsi="Arial" w:cs="Arial"/>
          <w:szCs w:val="22"/>
        </w:rPr>
        <w:t>4.9</w:t>
      </w:r>
      <w:r w:rsidRPr="00DF285D">
        <w:rPr>
          <w:rFonts w:ascii="Arial" w:hAnsi="Arial" w:cs="Arial"/>
          <w:szCs w:val="22"/>
        </w:rPr>
        <w:t>m)</w:t>
      </w:r>
    </w:p>
    <w:p w14:paraId="5993ED9C" w14:textId="533B6FCE" w:rsidR="00CD14AC" w:rsidRPr="00DF285D" w:rsidRDefault="00CD14AC" w:rsidP="00C05DFE">
      <w:pPr>
        <w:pStyle w:val="ListParagraph"/>
        <w:numPr>
          <w:ilvl w:val="2"/>
          <w:numId w:val="5"/>
        </w:numPr>
        <w:rPr>
          <w:rFonts w:ascii="Arial" w:hAnsi="Arial" w:cs="Arial"/>
          <w:szCs w:val="22"/>
        </w:rPr>
      </w:pPr>
      <w:r w:rsidRPr="00DF285D">
        <w:rPr>
          <w:rFonts w:ascii="Arial" w:hAnsi="Arial" w:cs="Arial"/>
          <w:szCs w:val="22"/>
        </w:rPr>
        <w:t>Pl</w:t>
      </w:r>
      <w:r w:rsidR="00DF285D" w:rsidRPr="00DF285D">
        <w:rPr>
          <w:rFonts w:ascii="Arial" w:hAnsi="Arial" w:cs="Arial"/>
          <w:szCs w:val="22"/>
        </w:rPr>
        <w:t>anning Advisory Service (£</w:t>
      </w:r>
      <w:r w:rsidR="00276EF7">
        <w:rPr>
          <w:rFonts w:ascii="Arial" w:hAnsi="Arial" w:cs="Arial"/>
          <w:szCs w:val="22"/>
        </w:rPr>
        <w:t>1</w:t>
      </w:r>
      <w:r w:rsidR="00DF285D" w:rsidRPr="00DF285D">
        <w:rPr>
          <w:rFonts w:ascii="Arial" w:hAnsi="Arial" w:cs="Arial"/>
          <w:szCs w:val="22"/>
        </w:rPr>
        <w:t>.0m)</w:t>
      </w:r>
      <w:r w:rsidRPr="00DF285D">
        <w:rPr>
          <w:rFonts w:ascii="Arial" w:hAnsi="Arial" w:cs="Arial"/>
          <w:szCs w:val="22"/>
        </w:rPr>
        <w:t xml:space="preserve"> </w:t>
      </w:r>
    </w:p>
    <w:p w14:paraId="1B0F6366" w14:textId="77777777" w:rsidR="00CD14AC" w:rsidRDefault="00DF285D" w:rsidP="00C05DFE">
      <w:pPr>
        <w:pStyle w:val="ListParagraph"/>
        <w:numPr>
          <w:ilvl w:val="2"/>
          <w:numId w:val="5"/>
        </w:numPr>
        <w:rPr>
          <w:rFonts w:ascii="Arial" w:hAnsi="Arial" w:cs="Arial"/>
          <w:szCs w:val="22"/>
        </w:rPr>
      </w:pPr>
      <w:r>
        <w:rPr>
          <w:rFonts w:ascii="Arial" w:hAnsi="Arial" w:cs="Arial"/>
          <w:szCs w:val="22"/>
        </w:rPr>
        <w:t>One Public Estate (0.4m)</w:t>
      </w:r>
    </w:p>
    <w:p w14:paraId="3864FED8" w14:textId="77777777" w:rsidR="00CD14AC" w:rsidRPr="00DF285D" w:rsidRDefault="00DF285D" w:rsidP="00DF285D">
      <w:pPr>
        <w:pStyle w:val="ListParagraph"/>
        <w:numPr>
          <w:ilvl w:val="2"/>
          <w:numId w:val="5"/>
        </w:numPr>
        <w:rPr>
          <w:rFonts w:ascii="Arial" w:hAnsi="Arial" w:cs="Arial"/>
          <w:szCs w:val="22"/>
        </w:rPr>
      </w:pPr>
      <w:r w:rsidRPr="00DF285D">
        <w:rPr>
          <w:rFonts w:ascii="Arial" w:hAnsi="Arial" w:cs="Arial"/>
          <w:szCs w:val="22"/>
        </w:rPr>
        <w:t>Amenity Assets (£0.1m)</w:t>
      </w:r>
    </w:p>
    <w:p w14:paraId="1591868E" w14:textId="4904AB91" w:rsidR="00E34FBD" w:rsidRDefault="009F2FA7" w:rsidP="001806B5">
      <w:pPr>
        <w:pStyle w:val="ListParagraph"/>
        <w:numPr>
          <w:ilvl w:val="0"/>
          <w:numId w:val="1"/>
        </w:numPr>
        <w:rPr>
          <w:rFonts w:ascii="Arial" w:hAnsi="Arial" w:cs="Arial"/>
          <w:szCs w:val="22"/>
        </w:rPr>
      </w:pPr>
      <w:r>
        <w:rPr>
          <w:rFonts w:ascii="Arial" w:hAnsi="Arial" w:cs="Arial"/>
          <w:szCs w:val="22"/>
        </w:rPr>
        <w:t>Known levels of G</w:t>
      </w:r>
      <w:r w:rsidR="00CD14AC" w:rsidRPr="00E34FBD">
        <w:rPr>
          <w:rFonts w:ascii="Arial" w:hAnsi="Arial" w:cs="Arial"/>
          <w:szCs w:val="22"/>
        </w:rPr>
        <w:t xml:space="preserve">rant income for </w:t>
      </w:r>
      <w:r w:rsidR="00B73AE0" w:rsidRPr="00E34FBD">
        <w:rPr>
          <w:rFonts w:ascii="Arial" w:hAnsi="Arial" w:cs="Arial"/>
          <w:szCs w:val="22"/>
        </w:rPr>
        <w:t>2016/17 has decreased compared with 2015/16</w:t>
      </w:r>
      <w:r>
        <w:rPr>
          <w:rFonts w:ascii="Arial" w:hAnsi="Arial" w:cs="Arial"/>
          <w:szCs w:val="22"/>
        </w:rPr>
        <w:t xml:space="preserve"> by £1m, with a requirement to reduce direct costs, reducing the shown contribution to overheads</w:t>
      </w:r>
      <w:r w:rsidR="00CD14AC" w:rsidRPr="00E34FBD">
        <w:rPr>
          <w:rFonts w:ascii="Arial" w:hAnsi="Arial" w:cs="Arial"/>
          <w:szCs w:val="22"/>
        </w:rPr>
        <w:t xml:space="preserve">. </w:t>
      </w:r>
    </w:p>
    <w:p w14:paraId="0AE3A026" w14:textId="77777777" w:rsidR="00CD14AC" w:rsidRPr="00E34FBD" w:rsidRDefault="00CD14AC" w:rsidP="001806B5">
      <w:pPr>
        <w:pStyle w:val="ListParagraph"/>
        <w:numPr>
          <w:ilvl w:val="0"/>
          <w:numId w:val="1"/>
        </w:numPr>
        <w:rPr>
          <w:rFonts w:ascii="Arial" w:hAnsi="Arial" w:cs="Arial"/>
          <w:szCs w:val="22"/>
        </w:rPr>
      </w:pPr>
      <w:r w:rsidRPr="00E34FBD">
        <w:rPr>
          <w:rFonts w:ascii="Arial" w:hAnsi="Arial" w:cs="Arial"/>
          <w:szCs w:val="22"/>
        </w:rPr>
        <w:t>Other ring-fenced activity will be undertaken by the LGA on a cost–recovery basis, including the action on Property Searches and the Pensions Secretariat.</w:t>
      </w:r>
    </w:p>
    <w:p w14:paraId="59838BDF" w14:textId="77777777" w:rsidR="00327056" w:rsidRPr="00327056" w:rsidRDefault="00327056" w:rsidP="00327056">
      <w:pPr>
        <w:pStyle w:val="ListParagraph"/>
        <w:rPr>
          <w:rFonts w:ascii="Arial" w:hAnsi="Arial" w:cs="Arial"/>
          <w:b/>
          <w:szCs w:val="22"/>
        </w:rPr>
      </w:pPr>
    </w:p>
    <w:p w14:paraId="2699E173" w14:textId="11F74401"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t>Additional pension contributions –</w:t>
      </w:r>
      <w:r w:rsidR="009F2767">
        <w:rPr>
          <w:rFonts w:ascii="Arial" w:hAnsi="Arial" w:cs="Arial"/>
          <w:b/>
          <w:szCs w:val="22"/>
        </w:rPr>
        <w:t xml:space="preserve"> </w:t>
      </w:r>
      <w:r w:rsidRPr="00CD14AC">
        <w:rPr>
          <w:rFonts w:ascii="Arial" w:hAnsi="Arial" w:cs="Arial"/>
          <w:b/>
          <w:szCs w:val="22"/>
        </w:rPr>
        <w:t>£</w:t>
      </w:r>
      <w:r w:rsidR="00714759">
        <w:rPr>
          <w:rFonts w:ascii="Arial" w:hAnsi="Arial" w:cs="Arial"/>
          <w:b/>
          <w:szCs w:val="22"/>
        </w:rPr>
        <w:t>2.6</w:t>
      </w:r>
      <w:r w:rsidRPr="00CD14AC">
        <w:rPr>
          <w:rFonts w:ascii="Arial" w:hAnsi="Arial" w:cs="Arial"/>
          <w:b/>
          <w:szCs w:val="22"/>
        </w:rPr>
        <w:t>m</w:t>
      </w:r>
      <w:r w:rsidR="009F2767">
        <w:rPr>
          <w:rFonts w:ascii="Arial" w:hAnsi="Arial" w:cs="Arial"/>
          <w:b/>
          <w:szCs w:val="22"/>
        </w:rPr>
        <w:t xml:space="preserve"> (Row 16</w:t>
      </w:r>
      <w:r w:rsidR="00215EAB">
        <w:rPr>
          <w:rFonts w:ascii="Arial" w:hAnsi="Arial" w:cs="Arial"/>
          <w:b/>
          <w:szCs w:val="22"/>
        </w:rPr>
        <w:t>)</w:t>
      </w:r>
    </w:p>
    <w:p w14:paraId="786AC0C8"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 xml:space="preserve">The </w:t>
      </w:r>
      <w:r w:rsidR="00714759">
        <w:rPr>
          <w:rFonts w:ascii="Arial" w:hAnsi="Arial" w:cs="Arial"/>
          <w:szCs w:val="22"/>
        </w:rPr>
        <w:t>increase</w:t>
      </w:r>
      <w:r w:rsidRPr="00CD14AC">
        <w:rPr>
          <w:rFonts w:ascii="Arial" w:hAnsi="Arial" w:cs="Arial"/>
          <w:szCs w:val="22"/>
        </w:rPr>
        <w:t xml:space="preserve"> in additional annual pension contributions is due </w:t>
      </w:r>
      <w:r w:rsidR="00714759">
        <w:rPr>
          <w:rFonts w:ascii="Arial" w:hAnsi="Arial" w:cs="Arial"/>
          <w:szCs w:val="22"/>
        </w:rPr>
        <w:t>the agreed schedule of</w:t>
      </w:r>
      <w:r w:rsidR="00DF285D">
        <w:rPr>
          <w:rFonts w:ascii="Arial" w:hAnsi="Arial" w:cs="Arial"/>
          <w:szCs w:val="22"/>
        </w:rPr>
        <w:t xml:space="preserve"> </w:t>
      </w:r>
      <w:r w:rsidRPr="00CD14AC">
        <w:rPr>
          <w:rFonts w:ascii="Arial" w:hAnsi="Arial" w:cs="Arial"/>
          <w:szCs w:val="22"/>
        </w:rPr>
        <w:t xml:space="preserve">payment due to Camden Pension Fund for 2016-17. </w:t>
      </w:r>
    </w:p>
    <w:p w14:paraId="3272A7DA" w14:textId="3B1006A8"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Additional pension payments of £</w:t>
      </w:r>
      <w:r w:rsidR="00714759">
        <w:rPr>
          <w:rFonts w:ascii="Arial" w:hAnsi="Arial" w:cs="Arial"/>
          <w:szCs w:val="22"/>
        </w:rPr>
        <w:t>1.0</w:t>
      </w:r>
      <w:r w:rsidRPr="00CD14AC">
        <w:rPr>
          <w:rFonts w:ascii="Arial" w:hAnsi="Arial" w:cs="Arial"/>
          <w:szCs w:val="22"/>
        </w:rPr>
        <w:t>m are also made in respect of unfunded pension liabilities for former employees. (The LGA’s practice in recent years has been to ensure that pension liabilities are fully funded for all departing employees.)</w:t>
      </w:r>
      <w:r w:rsidR="00714759">
        <w:rPr>
          <w:rFonts w:ascii="Arial" w:hAnsi="Arial" w:cs="Arial"/>
          <w:szCs w:val="22"/>
        </w:rPr>
        <w:t xml:space="preserve">. These costs are included in Corporate overhead costs in Row </w:t>
      </w:r>
      <w:r w:rsidR="009F2767">
        <w:rPr>
          <w:rFonts w:ascii="Arial" w:hAnsi="Arial" w:cs="Arial"/>
          <w:szCs w:val="22"/>
        </w:rPr>
        <w:t>7</w:t>
      </w:r>
      <w:r w:rsidR="00714759">
        <w:rPr>
          <w:rFonts w:ascii="Arial" w:hAnsi="Arial" w:cs="Arial"/>
          <w:szCs w:val="22"/>
        </w:rPr>
        <w:t xml:space="preserve"> of the consolidated summary.</w:t>
      </w:r>
    </w:p>
    <w:p w14:paraId="739E1EF3" w14:textId="77777777" w:rsidR="00DF285D" w:rsidRDefault="00DF285D" w:rsidP="00CD14AC">
      <w:pPr>
        <w:pStyle w:val="MainText"/>
        <w:spacing w:line="240" w:lineRule="auto"/>
        <w:rPr>
          <w:rFonts w:ascii="Arial" w:hAnsi="Arial" w:cs="Arial"/>
          <w:b/>
          <w:szCs w:val="22"/>
        </w:rPr>
      </w:pPr>
    </w:p>
    <w:p w14:paraId="1416386E" w14:textId="2C0D6FFB" w:rsidR="00714759" w:rsidRDefault="00714759" w:rsidP="00CD14AC">
      <w:pPr>
        <w:pStyle w:val="MainText"/>
        <w:spacing w:line="240" w:lineRule="auto"/>
        <w:rPr>
          <w:rFonts w:ascii="Arial" w:hAnsi="Arial" w:cs="Arial"/>
          <w:b/>
          <w:szCs w:val="22"/>
        </w:rPr>
      </w:pPr>
      <w:r>
        <w:rPr>
          <w:rFonts w:ascii="Arial" w:hAnsi="Arial" w:cs="Arial"/>
          <w:b/>
          <w:szCs w:val="22"/>
        </w:rPr>
        <w:t>Cont</w:t>
      </w:r>
      <w:r w:rsidR="00E34FBD">
        <w:rPr>
          <w:rFonts w:ascii="Arial" w:hAnsi="Arial" w:cs="Arial"/>
          <w:b/>
          <w:szCs w:val="22"/>
        </w:rPr>
        <w:t xml:space="preserve">ribution to </w:t>
      </w:r>
      <w:r w:rsidR="009F2767">
        <w:rPr>
          <w:rFonts w:ascii="Arial" w:hAnsi="Arial" w:cs="Arial"/>
          <w:b/>
          <w:szCs w:val="22"/>
        </w:rPr>
        <w:t>Specific</w:t>
      </w:r>
      <w:r w:rsidR="00E34FBD">
        <w:rPr>
          <w:rFonts w:ascii="Arial" w:hAnsi="Arial" w:cs="Arial"/>
          <w:b/>
          <w:szCs w:val="22"/>
        </w:rPr>
        <w:t xml:space="preserve"> Reserve</w:t>
      </w:r>
      <w:r w:rsidR="009F2767">
        <w:rPr>
          <w:rFonts w:ascii="Arial" w:hAnsi="Arial" w:cs="Arial"/>
          <w:b/>
          <w:szCs w:val="22"/>
        </w:rPr>
        <w:t>s</w:t>
      </w:r>
      <w:r>
        <w:rPr>
          <w:rFonts w:ascii="Arial" w:hAnsi="Arial" w:cs="Arial"/>
          <w:b/>
          <w:szCs w:val="22"/>
        </w:rPr>
        <w:t xml:space="preserve"> </w:t>
      </w:r>
      <w:r w:rsidR="00E12F52">
        <w:rPr>
          <w:rFonts w:ascii="Arial" w:hAnsi="Arial" w:cs="Arial"/>
          <w:b/>
          <w:szCs w:val="22"/>
        </w:rPr>
        <w:t xml:space="preserve">- £1.8m </w:t>
      </w:r>
      <w:r w:rsidR="00215EAB">
        <w:rPr>
          <w:rFonts w:ascii="Arial" w:hAnsi="Arial" w:cs="Arial"/>
          <w:b/>
          <w:szCs w:val="22"/>
        </w:rPr>
        <w:t>(</w:t>
      </w:r>
      <w:r>
        <w:rPr>
          <w:rFonts w:ascii="Arial" w:hAnsi="Arial" w:cs="Arial"/>
          <w:b/>
          <w:szCs w:val="22"/>
        </w:rPr>
        <w:t xml:space="preserve">Row </w:t>
      </w:r>
      <w:r w:rsidR="00DF285D">
        <w:rPr>
          <w:rFonts w:ascii="Arial" w:hAnsi="Arial" w:cs="Arial"/>
          <w:b/>
          <w:szCs w:val="22"/>
        </w:rPr>
        <w:t>1</w:t>
      </w:r>
      <w:r w:rsidR="0027305B">
        <w:rPr>
          <w:rFonts w:ascii="Arial" w:hAnsi="Arial" w:cs="Arial"/>
          <w:b/>
          <w:szCs w:val="22"/>
        </w:rPr>
        <w:t>7</w:t>
      </w:r>
      <w:r w:rsidR="00215EAB">
        <w:rPr>
          <w:rFonts w:ascii="Arial" w:hAnsi="Arial" w:cs="Arial"/>
          <w:b/>
          <w:szCs w:val="22"/>
        </w:rPr>
        <w:t>)</w:t>
      </w:r>
    </w:p>
    <w:p w14:paraId="337F9A05" w14:textId="05620B88" w:rsidR="00714759" w:rsidRDefault="00714759" w:rsidP="003D7751">
      <w:pPr>
        <w:pStyle w:val="ListParagraph"/>
        <w:numPr>
          <w:ilvl w:val="0"/>
          <w:numId w:val="1"/>
        </w:numPr>
        <w:rPr>
          <w:rFonts w:ascii="Arial" w:hAnsi="Arial" w:cs="Arial"/>
          <w:szCs w:val="22"/>
        </w:rPr>
      </w:pPr>
      <w:r>
        <w:rPr>
          <w:rFonts w:ascii="Arial" w:hAnsi="Arial" w:cs="Arial"/>
          <w:szCs w:val="22"/>
        </w:rPr>
        <w:t xml:space="preserve">As a result of the measures taken to secure organisational and overhead savings within 2015/16, the LGA has a short term opportunity to </w:t>
      </w:r>
      <w:r w:rsidR="003D7751">
        <w:rPr>
          <w:rFonts w:ascii="Arial" w:hAnsi="Arial" w:cs="Arial"/>
          <w:szCs w:val="22"/>
        </w:rPr>
        <w:t>use these</w:t>
      </w:r>
      <w:r w:rsidR="00276EF7">
        <w:rPr>
          <w:rFonts w:ascii="Arial" w:hAnsi="Arial" w:cs="Arial"/>
          <w:szCs w:val="22"/>
        </w:rPr>
        <w:t xml:space="preserve"> savings</w:t>
      </w:r>
      <w:r w:rsidR="003D7751">
        <w:rPr>
          <w:rFonts w:ascii="Arial" w:hAnsi="Arial" w:cs="Arial"/>
          <w:szCs w:val="22"/>
        </w:rPr>
        <w:t xml:space="preserve"> to allocate</w:t>
      </w:r>
      <w:r w:rsidRPr="00714759">
        <w:rPr>
          <w:rFonts w:ascii="Arial" w:hAnsi="Arial" w:cs="Arial"/>
          <w:szCs w:val="22"/>
        </w:rPr>
        <w:t xml:space="preserve"> to a specific reserve to provide opportunities to </w:t>
      </w:r>
      <w:r w:rsidR="00E12F52">
        <w:rPr>
          <w:rFonts w:ascii="Arial" w:hAnsi="Arial" w:cs="Arial"/>
          <w:szCs w:val="22"/>
        </w:rPr>
        <w:t xml:space="preserve">invest to </w:t>
      </w:r>
      <w:r w:rsidRPr="00714759">
        <w:rPr>
          <w:rFonts w:ascii="Arial" w:hAnsi="Arial" w:cs="Arial"/>
          <w:szCs w:val="22"/>
        </w:rPr>
        <w:t xml:space="preserve">save costs or generate additional commercial income, and also to cover the potential risks to the plan outlined in </w:t>
      </w:r>
      <w:r w:rsidR="003D7751">
        <w:rPr>
          <w:rFonts w:ascii="Arial" w:hAnsi="Arial" w:cs="Arial"/>
          <w:szCs w:val="22"/>
        </w:rPr>
        <w:t>in the LGA Financial Strategy</w:t>
      </w:r>
      <w:r w:rsidR="009F2767">
        <w:rPr>
          <w:rFonts w:ascii="Arial" w:hAnsi="Arial" w:cs="Arial"/>
          <w:szCs w:val="22"/>
        </w:rPr>
        <w:t xml:space="preserve"> (See Appendix </w:t>
      </w:r>
      <w:r w:rsidR="0027305B">
        <w:rPr>
          <w:rFonts w:ascii="Arial" w:hAnsi="Arial" w:cs="Arial"/>
          <w:szCs w:val="22"/>
        </w:rPr>
        <w:t>C for more detail)</w:t>
      </w:r>
      <w:r w:rsidRPr="00714759">
        <w:rPr>
          <w:rFonts w:ascii="Arial" w:hAnsi="Arial" w:cs="Arial"/>
          <w:szCs w:val="22"/>
        </w:rPr>
        <w:t>.</w:t>
      </w:r>
      <w:r w:rsidR="00E12F52">
        <w:rPr>
          <w:rFonts w:ascii="Arial" w:hAnsi="Arial" w:cs="Arial"/>
          <w:szCs w:val="22"/>
        </w:rPr>
        <w:t xml:space="preserve"> This amount represents the current </w:t>
      </w:r>
      <w:r w:rsidR="00810537">
        <w:rPr>
          <w:rFonts w:ascii="Arial" w:hAnsi="Arial" w:cs="Arial"/>
          <w:szCs w:val="22"/>
        </w:rPr>
        <w:t>budget</w:t>
      </w:r>
      <w:r w:rsidR="00E12F52">
        <w:rPr>
          <w:rFonts w:ascii="Arial" w:hAnsi="Arial" w:cs="Arial"/>
          <w:szCs w:val="22"/>
        </w:rPr>
        <w:t xml:space="preserve"> for </w:t>
      </w:r>
      <w:r w:rsidR="00810537">
        <w:rPr>
          <w:rFonts w:ascii="Arial" w:hAnsi="Arial" w:cs="Arial"/>
          <w:szCs w:val="22"/>
        </w:rPr>
        <w:t>a surplus from the 2 operating entities in the group of the LGA and IDEA.</w:t>
      </w:r>
    </w:p>
    <w:p w14:paraId="03F719D7" w14:textId="77777777" w:rsidR="0027305B" w:rsidRPr="0027305B" w:rsidRDefault="0027305B" w:rsidP="0027305B">
      <w:pPr>
        <w:rPr>
          <w:rFonts w:ascii="Arial" w:hAnsi="Arial" w:cs="Arial"/>
          <w:szCs w:val="22"/>
        </w:rPr>
      </w:pPr>
    </w:p>
    <w:p w14:paraId="06E8AB67" w14:textId="1D611383" w:rsidR="0027305B" w:rsidRDefault="0027305B" w:rsidP="0027305B">
      <w:pPr>
        <w:pStyle w:val="MainText"/>
        <w:spacing w:line="240" w:lineRule="auto"/>
        <w:rPr>
          <w:rFonts w:ascii="Arial" w:hAnsi="Arial" w:cs="Arial"/>
          <w:b/>
          <w:szCs w:val="22"/>
        </w:rPr>
      </w:pPr>
      <w:r>
        <w:rPr>
          <w:rFonts w:ascii="Arial" w:hAnsi="Arial" w:cs="Arial"/>
          <w:b/>
          <w:szCs w:val="22"/>
        </w:rPr>
        <w:t xml:space="preserve">Contribution from General Reserves </w:t>
      </w:r>
      <w:r w:rsidR="00810537">
        <w:rPr>
          <w:rFonts w:ascii="Arial" w:hAnsi="Arial" w:cs="Arial"/>
          <w:b/>
          <w:szCs w:val="22"/>
        </w:rPr>
        <w:t xml:space="preserve">- £2.2m </w:t>
      </w:r>
      <w:r>
        <w:rPr>
          <w:rFonts w:ascii="Arial" w:hAnsi="Arial" w:cs="Arial"/>
          <w:b/>
          <w:szCs w:val="22"/>
        </w:rPr>
        <w:t>(Row 18)</w:t>
      </w:r>
    </w:p>
    <w:p w14:paraId="270434DC" w14:textId="16C365F8" w:rsidR="0027305B" w:rsidRPr="00810537" w:rsidRDefault="00810537" w:rsidP="0027305B">
      <w:pPr>
        <w:pStyle w:val="ListParagraph"/>
        <w:numPr>
          <w:ilvl w:val="0"/>
          <w:numId w:val="1"/>
        </w:numPr>
        <w:rPr>
          <w:rFonts w:ascii="Arial" w:hAnsi="Arial" w:cs="Arial"/>
          <w:szCs w:val="22"/>
        </w:rPr>
      </w:pPr>
      <w:r>
        <w:rPr>
          <w:rFonts w:ascii="Arial" w:hAnsi="Arial" w:cs="Arial"/>
          <w:szCs w:val="22"/>
        </w:rPr>
        <w:t xml:space="preserve"> This represents the revenue deficits arising during the redevelopment projects, which will result in a drawing from the property company reserves. </w:t>
      </w:r>
    </w:p>
    <w:p w14:paraId="41448549" w14:textId="77777777" w:rsidR="00C33D64" w:rsidRDefault="00C33D64" w:rsidP="00CD14AC">
      <w:pPr>
        <w:pStyle w:val="MainText"/>
        <w:spacing w:line="240" w:lineRule="auto"/>
        <w:rPr>
          <w:rFonts w:ascii="Arial" w:hAnsi="Arial" w:cs="Arial"/>
          <w:b/>
          <w:szCs w:val="22"/>
        </w:rPr>
      </w:pPr>
    </w:p>
    <w:p w14:paraId="2C6B5297" w14:textId="0513D0EB" w:rsidR="004C39A8" w:rsidRDefault="004C39A8" w:rsidP="004C39A8">
      <w:pPr>
        <w:pStyle w:val="MainText"/>
        <w:spacing w:line="240" w:lineRule="auto"/>
        <w:rPr>
          <w:rFonts w:ascii="Arial" w:hAnsi="Arial" w:cs="Arial"/>
          <w:b/>
          <w:szCs w:val="22"/>
        </w:rPr>
      </w:pPr>
      <w:r w:rsidRPr="00CD14AC">
        <w:rPr>
          <w:rFonts w:ascii="Arial" w:hAnsi="Arial" w:cs="Arial"/>
          <w:b/>
          <w:szCs w:val="22"/>
        </w:rPr>
        <w:t>2016-17 BUDGET PROPOSALS</w:t>
      </w:r>
      <w:r>
        <w:rPr>
          <w:rFonts w:ascii="Arial" w:hAnsi="Arial" w:cs="Arial"/>
          <w:b/>
          <w:szCs w:val="22"/>
        </w:rPr>
        <w:t xml:space="preserve"> – PROJECTIONS 2017-18 AND 2018-19 </w:t>
      </w:r>
    </w:p>
    <w:p w14:paraId="27471F21" w14:textId="213FECF2" w:rsidR="004C39A8" w:rsidRDefault="004C39A8" w:rsidP="004C39A8">
      <w:pPr>
        <w:pStyle w:val="ListParagraph"/>
        <w:numPr>
          <w:ilvl w:val="0"/>
          <w:numId w:val="1"/>
        </w:numPr>
        <w:rPr>
          <w:rFonts w:ascii="Arial" w:hAnsi="Arial" w:cs="Arial"/>
          <w:szCs w:val="22"/>
        </w:rPr>
      </w:pPr>
      <w:r>
        <w:rPr>
          <w:rFonts w:ascii="Arial" w:hAnsi="Arial" w:cs="Arial"/>
          <w:szCs w:val="22"/>
        </w:rPr>
        <w:t>The Consolidation Summary report also includes high level projections for the next 2 financial years based on the assumptions within the latest Financial Strategy. What is not included at this stage is:</w:t>
      </w:r>
    </w:p>
    <w:p w14:paraId="58116311" w14:textId="280A7782" w:rsidR="004C39A8" w:rsidRDefault="004C39A8" w:rsidP="004C39A8">
      <w:pPr>
        <w:pStyle w:val="MainText"/>
        <w:numPr>
          <w:ilvl w:val="0"/>
          <w:numId w:val="6"/>
        </w:numPr>
        <w:spacing w:line="240" w:lineRule="auto"/>
        <w:rPr>
          <w:rFonts w:ascii="Arial" w:hAnsi="Arial" w:cs="Arial"/>
          <w:szCs w:val="22"/>
        </w:rPr>
      </w:pPr>
      <w:r>
        <w:rPr>
          <w:rFonts w:ascii="Arial" w:hAnsi="Arial" w:cs="Arial"/>
          <w:szCs w:val="22"/>
        </w:rPr>
        <w:t>Reduction in work programmes to reflect lower levels of Direct Grant</w:t>
      </w:r>
    </w:p>
    <w:p w14:paraId="6E81F13A" w14:textId="5F6C2070" w:rsidR="004C39A8" w:rsidRDefault="004C39A8" w:rsidP="00CD14AC">
      <w:pPr>
        <w:pStyle w:val="MainText"/>
        <w:numPr>
          <w:ilvl w:val="0"/>
          <w:numId w:val="6"/>
        </w:numPr>
        <w:spacing w:line="240" w:lineRule="auto"/>
        <w:rPr>
          <w:rFonts w:ascii="Arial" w:hAnsi="Arial" w:cs="Arial"/>
          <w:szCs w:val="22"/>
        </w:rPr>
      </w:pPr>
      <w:r w:rsidRPr="004C39A8">
        <w:rPr>
          <w:rFonts w:ascii="Arial" w:hAnsi="Arial" w:cs="Arial"/>
          <w:szCs w:val="22"/>
        </w:rPr>
        <w:t xml:space="preserve">Utilisation </w:t>
      </w:r>
      <w:r>
        <w:rPr>
          <w:rFonts w:ascii="Arial" w:hAnsi="Arial" w:cs="Arial"/>
          <w:szCs w:val="22"/>
        </w:rPr>
        <w:t>of property company trading surpluses to support LGA and IDEA service delivery</w:t>
      </w:r>
    </w:p>
    <w:p w14:paraId="2C71C1DA" w14:textId="1A12A3A7" w:rsidR="004C39A8" w:rsidRDefault="004C39A8" w:rsidP="00CD14AC">
      <w:pPr>
        <w:pStyle w:val="MainText"/>
        <w:numPr>
          <w:ilvl w:val="0"/>
          <w:numId w:val="6"/>
        </w:numPr>
        <w:spacing w:line="240" w:lineRule="auto"/>
        <w:rPr>
          <w:rFonts w:ascii="Arial" w:hAnsi="Arial" w:cs="Arial"/>
          <w:szCs w:val="22"/>
        </w:rPr>
      </w:pPr>
      <w:r>
        <w:rPr>
          <w:rFonts w:ascii="Arial" w:hAnsi="Arial" w:cs="Arial"/>
          <w:szCs w:val="22"/>
        </w:rPr>
        <w:t>Any allowance for the occurrence of the potential risks identified in the latest Fina</w:t>
      </w:r>
      <w:r w:rsidR="00286976">
        <w:rPr>
          <w:rFonts w:ascii="Arial" w:hAnsi="Arial" w:cs="Arial"/>
          <w:szCs w:val="22"/>
        </w:rPr>
        <w:t>n</w:t>
      </w:r>
      <w:r>
        <w:rPr>
          <w:rFonts w:ascii="Arial" w:hAnsi="Arial" w:cs="Arial"/>
          <w:szCs w:val="22"/>
        </w:rPr>
        <w:t xml:space="preserve">cial Strategy at Appendix </w:t>
      </w:r>
      <w:r w:rsidR="00CB5464">
        <w:rPr>
          <w:rFonts w:ascii="Arial" w:hAnsi="Arial" w:cs="Arial"/>
          <w:szCs w:val="22"/>
        </w:rPr>
        <w:t>C</w:t>
      </w:r>
      <w:r>
        <w:rPr>
          <w:rFonts w:ascii="Arial" w:hAnsi="Arial" w:cs="Arial"/>
          <w:szCs w:val="22"/>
        </w:rPr>
        <w:t xml:space="preserve"> to this report for information.</w:t>
      </w:r>
    </w:p>
    <w:p w14:paraId="0A103FC6" w14:textId="56D301DF" w:rsidR="004C39A8" w:rsidRPr="00810537" w:rsidRDefault="00810537" w:rsidP="00CD14AC">
      <w:pPr>
        <w:pStyle w:val="ListParagraph"/>
        <w:numPr>
          <w:ilvl w:val="0"/>
          <w:numId w:val="1"/>
        </w:numPr>
        <w:rPr>
          <w:rFonts w:ascii="Arial" w:hAnsi="Arial" w:cs="Arial"/>
          <w:szCs w:val="22"/>
        </w:rPr>
      </w:pPr>
      <w:r>
        <w:rPr>
          <w:rFonts w:ascii="Arial" w:hAnsi="Arial" w:cs="Arial"/>
          <w:szCs w:val="22"/>
        </w:rPr>
        <w:t>It is also worth noting that the projections for 2017/18 and 2018/19 include potential tax payments that may arise out of surpluses from profits arising from the development of Layden House.</w:t>
      </w:r>
    </w:p>
    <w:p w14:paraId="525B921C" w14:textId="023A9F91" w:rsidR="00485B2A" w:rsidRDefault="00485B2A" w:rsidP="00485B2A">
      <w:pPr>
        <w:pStyle w:val="MainText"/>
        <w:spacing w:line="240" w:lineRule="auto"/>
        <w:rPr>
          <w:rFonts w:ascii="Arial" w:hAnsi="Arial" w:cs="Arial"/>
          <w:b/>
          <w:szCs w:val="22"/>
        </w:rPr>
      </w:pPr>
      <w:r w:rsidRPr="00CD14AC">
        <w:rPr>
          <w:rFonts w:ascii="Arial" w:hAnsi="Arial" w:cs="Arial"/>
          <w:b/>
          <w:szCs w:val="22"/>
        </w:rPr>
        <w:t>2016-17 BUDGET PROPOSALS</w:t>
      </w:r>
      <w:r>
        <w:rPr>
          <w:rFonts w:ascii="Arial" w:hAnsi="Arial" w:cs="Arial"/>
          <w:b/>
          <w:szCs w:val="22"/>
        </w:rPr>
        <w:t xml:space="preserve"> – CAPITAL EXPENDITURE </w:t>
      </w:r>
    </w:p>
    <w:p w14:paraId="069353E1" w14:textId="77777777" w:rsidR="00276EF7" w:rsidRDefault="00485B2A" w:rsidP="00485B2A">
      <w:pPr>
        <w:pStyle w:val="ListParagraph"/>
        <w:numPr>
          <w:ilvl w:val="0"/>
          <w:numId w:val="1"/>
        </w:numPr>
        <w:rPr>
          <w:rFonts w:ascii="Arial" w:hAnsi="Arial" w:cs="Arial"/>
          <w:szCs w:val="22"/>
        </w:rPr>
      </w:pPr>
      <w:r w:rsidRPr="00485B2A">
        <w:rPr>
          <w:rFonts w:ascii="Arial" w:hAnsi="Arial" w:cs="Arial"/>
          <w:szCs w:val="22"/>
        </w:rPr>
        <w:t xml:space="preserve">As included in the 2016/17 Financial Strategy report to the Leadership Board in January, the above Revenue Budget has been prepared on the basis of the latest </w:t>
      </w:r>
      <w:r w:rsidR="000041A1">
        <w:rPr>
          <w:rFonts w:ascii="Arial" w:hAnsi="Arial" w:cs="Arial"/>
          <w:szCs w:val="22"/>
        </w:rPr>
        <w:t>projections</w:t>
      </w:r>
      <w:r w:rsidRPr="00485B2A">
        <w:rPr>
          <w:rFonts w:ascii="Arial" w:hAnsi="Arial" w:cs="Arial"/>
          <w:szCs w:val="22"/>
        </w:rPr>
        <w:t xml:space="preserve"> of the investments required to support the developments LGA Properties – Local Government House and Local Government Management Board – Layden House</w:t>
      </w:r>
      <w:r w:rsidR="000041A1">
        <w:rPr>
          <w:rFonts w:ascii="Arial" w:hAnsi="Arial" w:cs="Arial"/>
          <w:szCs w:val="22"/>
        </w:rPr>
        <w:t xml:space="preserve">. </w:t>
      </w:r>
    </w:p>
    <w:p w14:paraId="3ABB9C42" w14:textId="7E0D6D53" w:rsidR="00485B2A" w:rsidRPr="0057024E" w:rsidRDefault="000041A1" w:rsidP="00485B2A">
      <w:pPr>
        <w:pStyle w:val="ListParagraph"/>
        <w:numPr>
          <w:ilvl w:val="0"/>
          <w:numId w:val="1"/>
        </w:numPr>
        <w:rPr>
          <w:rFonts w:ascii="Arial" w:hAnsi="Arial" w:cs="Arial"/>
          <w:szCs w:val="22"/>
        </w:rPr>
      </w:pPr>
      <w:r w:rsidRPr="0057024E">
        <w:rPr>
          <w:rFonts w:ascii="Arial" w:hAnsi="Arial" w:cs="Arial"/>
          <w:szCs w:val="22"/>
        </w:rPr>
        <w:t xml:space="preserve">The projected funding requirements are shown on </w:t>
      </w:r>
      <w:r w:rsidR="0057024E" w:rsidRPr="0057024E">
        <w:rPr>
          <w:rFonts w:ascii="Arial" w:hAnsi="Arial" w:cs="Arial"/>
          <w:szCs w:val="22"/>
        </w:rPr>
        <w:t>in the table below</w:t>
      </w:r>
      <w:r w:rsidRPr="0057024E">
        <w:rPr>
          <w:rFonts w:ascii="Arial" w:hAnsi="Arial" w:cs="Arial"/>
          <w:szCs w:val="22"/>
        </w:rPr>
        <w:t xml:space="preserve">. At this stage the budgets for the schemes have not been agreed by the property companies for recommendation to the Leadership Board for final approval. This activity will take place early in the next Financial Year once the planning processes are complete, and bids have been received from contractors.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30"/>
        <w:gridCol w:w="1012"/>
        <w:gridCol w:w="1012"/>
        <w:gridCol w:w="1050"/>
      </w:tblGrid>
      <w:tr w:rsidR="0057024E" w:rsidRPr="0057024E" w14:paraId="4BFF88FB" w14:textId="77777777" w:rsidTr="0057024E">
        <w:trPr>
          <w:tblHeader/>
        </w:trPr>
        <w:tc>
          <w:tcPr>
            <w:tcW w:w="4536" w:type="dxa"/>
            <w:shd w:val="clear" w:color="auto" w:fill="D9D9D9" w:themeFill="background1" w:themeFillShade="D9"/>
          </w:tcPr>
          <w:p w14:paraId="1918D53C" w14:textId="62A8DE55" w:rsidR="0057024E" w:rsidRPr="0057024E" w:rsidRDefault="0057024E" w:rsidP="0057024E">
            <w:pPr>
              <w:rPr>
                <w:rFonts w:ascii="Arial" w:hAnsi="Arial" w:cs="Arial"/>
                <w:b/>
                <w:szCs w:val="22"/>
              </w:rPr>
            </w:pPr>
            <w:r>
              <w:rPr>
                <w:rFonts w:ascii="Arial" w:hAnsi="Arial" w:cs="Arial"/>
                <w:b/>
                <w:szCs w:val="22"/>
              </w:rPr>
              <w:t>Estimated</w:t>
            </w:r>
            <w:r w:rsidRPr="0057024E">
              <w:rPr>
                <w:rFonts w:ascii="Arial" w:hAnsi="Arial" w:cs="Arial"/>
                <w:b/>
                <w:szCs w:val="22"/>
              </w:rPr>
              <w:t xml:space="preserve"> </w:t>
            </w:r>
            <w:r>
              <w:rPr>
                <w:rFonts w:ascii="Arial" w:hAnsi="Arial" w:cs="Arial"/>
                <w:b/>
                <w:szCs w:val="22"/>
              </w:rPr>
              <w:t>Capital Expenditure</w:t>
            </w:r>
          </w:p>
        </w:tc>
        <w:tc>
          <w:tcPr>
            <w:tcW w:w="1030" w:type="dxa"/>
            <w:shd w:val="clear" w:color="auto" w:fill="D9D9D9" w:themeFill="background1" w:themeFillShade="D9"/>
          </w:tcPr>
          <w:p w14:paraId="68B91D0F" w14:textId="77777777" w:rsidR="0057024E" w:rsidRPr="0057024E" w:rsidRDefault="0057024E" w:rsidP="0057024E">
            <w:pPr>
              <w:jc w:val="center"/>
              <w:rPr>
                <w:rFonts w:ascii="Arial" w:hAnsi="Arial" w:cs="Arial"/>
                <w:b/>
                <w:szCs w:val="22"/>
              </w:rPr>
            </w:pPr>
            <w:r w:rsidRPr="0057024E">
              <w:rPr>
                <w:rFonts w:ascii="Arial" w:hAnsi="Arial" w:cs="Arial"/>
                <w:b/>
                <w:szCs w:val="22"/>
              </w:rPr>
              <w:t>2015/16</w:t>
            </w:r>
            <w:r w:rsidRPr="0057024E">
              <w:rPr>
                <w:rFonts w:ascii="Arial" w:hAnsi="Arial" w:cs="Arial"/>
                <w:b/>
                <w:szCs w:val="22"/>
              </w:rPr>
              <w:br/>
              <w:t>£000</w:t>
            </w:r>
          </w:p>
        </w:tc>
        <w:tc>
          <w:tcPr>
            <w:tcW w:w="1012" w:type="dxa"/>
            <w:shd w:val="clear" w:color="auto" w:fill="D9D9D9" w:themeFill="background1" w:themeFillShade="D9"/>
          </w:tcPr>
          <w:p w14:paraId="209CC67B" w14:textId="77777777" w:rsidR="0057024E" w:rsidRPr="0057024E" w:rsidRDefault="0057024E" w:rsidP="0057024E">
            <w:pPr>
              <w:jc w:val="center"/>
              <w:rPr>
                <w:rFonts w:ascii="Arial" w:hAnsi="Arial" w:cs="Arial"/>
                <w:b/>
                <w:szCs w:val="22"/>
              </w:rPr>
            </w:pPr>
            <w:r w:rsidRPr="0057024E">
              <w:rPr>
                <w:rFonts w:ascii="Arial" w:hAnsi="Arial" w:cs="Arial"/>
                <w:b/>
                <w:szCs w:val="22"/>
              </w:rPr>
              <w:t>2016/17</w:t>
            </w:r>
            <w:r w:rsidRPr="0057024E">
              <w:rPr>
                <w:rFonts w:ascii="Arial" w:hAnsi="Arial" w:cs="Arial"/>
                <w:b/>
                <w:szCs w:val="22"/>
              </w:rPr>
              <w:br/>
              <w:t>£000</w:t>
            </w:r>
          </w:p>
        </w:tc>
        <w:tc>
          <w:tcPr>
            <w:tcW w:w="1012" w:type="dxa"/>
            <w:shd w:val="clear" w:color="auto" w:fill="D9D9D9" w:themeFill="background1" w:themeFillShade="D9"/>
          </w:tcPr>
          <w:p w14:paraId="39772417" w14:textId="77777777" w:rsidR="0057024E" w:rsidRPr="0057024E" w:rsidRDefault="0057024E" w:rsidP="0057024E">
            <w:pPr>
              <w:jc w:val="center"/>
              <w:rPr>
                <w:rFonts w:ascii="Arial" w:hAnsi="Arial" w:cs="Arial"/>
                <w:b/>
                <w:szCs w:val="22"/>
              </w:rPr>
            </w:pPr>
            <w:r w:rsidRPr="0057024E">
              <w:rPr>
                <w:rFonts w:ascii="Arial" w:hAnsi="Arial" w:cs="Arial"/>
                <w:b/>
                <w:szCs w:val="22"/>
              </w:rPr>
              <w:t>2017/18</w:t>
            </w:r>
            <w:r w:rsidRPr="0057024E">
              <w:rPr>
                <w:rFonts w:ascii="Arial" w:hAnsi="Arial" w:cs="Arial"/>
                <w:b/>
                <w:szCs w:val="22"/>
              </w:rPr>
              <w:br/>
              <w:t>£000</w:t>
            </w:r>
          </w:p>
        </w:tc>
        <w:tc>
          <w:tcPr>
            <w:tcW w:w="1050" w:type="dxa"/>
            <w:shd w:val="clear" w:color="auto" w:fill="D9D9D9" w:themeFill="background1" w:themeFillShade="D9"/>
          </w:tcPr>
          <w:p w14:paraId="2AB0642B" w14:textId="77777777" w:rsidR="0057024E" w:rsidRPr="0057024E" w:rsidRDefault="0057024E" w:rsidP="0057024E">
            <w:pPr>
              <w:jc w:val="center"/>
              <w:rPr>
                <w:rFonts w:ascii="Arial" w:hAnsi="Arial" w:cs="Arial"/>
                <w:b/>
                <w:szCs w:val="22"/>
              </w:rPr>
            </w:pPr>
            <w:r w:rsidRPr="0057024E">
              <w:rPr>
                <w:rFonts w:ascii="Arial" w:hAnsi="Arial" w:cs="Arial"/>
                <w:b/>
                <w:szCs w:val="22"/>
              </w:rPr>
              <w:t>Total</w:t>
            </w:r>
            <w:r w:rsidRPr="0057024E">
              <w:rPr>
                <w:rFonts w:ascii="Arial" w:hAnsi="Arial" w:cs="Arial"/>
                <w:b/>
                <w:szCs w:val="22"/>
              </w:rPr>
              <w:br/>
              <w:t>£000</w:t>
            </w:r>
          </w:p>
        </w:tc>
      </w:tr>
      <w:tr w:rsidR="0057024E" w:rsidRPr="0057024E" w14:paraId="6D564C94" w14:textId="77777777" w:rsidTr="0057024E">
        <w:tc>
          <w:tcPr>
            <w:tcW w:w="4536" w:type="dxa"/>
            <w:shd w:val="clear" w:color="auto" w:fill="auto"/>
          </w:tcPr>
          <w:p w14:paraId="2536EA57" w14:textId="77777777" w:rsidR="0057024E" w:rsidRPr="0057024E" w:rsidRDefault="0057024E" w:rsidP="0057024E">
            <w:pPr>
              <w:rPr>
                <w:rFonts w:ascii="Arial" w:hAnsi="Arial" w:cs="Arial"/>
                <w:szCs w:val="22"/>
              </w:rPr>
            </w:pPr>
            <w:r w:rsidRPr="0057024E">
              <w:rPr>
                <w:rFonts w:ascii="Arial" w:hAnsi="Arial" w:cs="Arial"/>
                <w:szCs w:val="22"/>
              </w:rPr>
              <w:t>LGA Properties – Local Government House</w:t>
            </w:r>
          </w:p>
        </w:tc>
        <w:tc>
          <w:tcPr>
            <w:tcW w:w="1030" w:type="dxa"/>
          </w:tcPr>
          <w:p w14:paraId="46C8C753" w14:textId="77777777" w:rsidR="0057024E" w:rsidRPr="0057024E" w:rsidRDefault="0057024E" w:rsidP="0057024E">
            <w:pPr>
              <w:jc w:val="right"/>
              <w:rPr>
                <w:rFonts w:ascii="Arial" w:hAnsi="Arial" w:cs="Arial"/>
                <w:szCs w:val="22"/>
              </w:rPr>
            </w:pPr>
            <w:r w:rsidRPr="0057024E">
              <w:rPr>
                <w:rFonts w:ascii="Arial" w:hAnsi="Arial" w:cs="Arial"/>
                <w:szCs w:val="22"/>
              </w:rPr>
              <w:t>150</w:t>
            </w:r>
          </w:p>
        </w:tc>
        <w:tc>
          <w:tcPr>
            <w:tcW w:w="1012" w:type="dxa"/>
          </w:tcPr>
          <w:p w14:paraId="1F938C14" w14:textId="77777777" w:rsidR="0057024E" w:rsidRPr="0057024E" w:rsidRDefault="0057024E" w:rsidP="0057024E">
            <w:pPr>
              <w:jc w:val="right"/>
              <w:rPr>
                <w:rFonts w:ascii="Arial" w:hAnsi="Arial" w:cs="Arial"/>
                <w:szCs w:val="22"/>
              </w:rPr>
            </w:pPr>
            <w:r w:rsidRPr="0057024E">
              <w:rPr>
                <w:rFonts w:ascii="Arial" w:hAnsi="Arial" w:cs="Arial"/>
                <w:szCs w:val="22"/>
              </w:rPr>
              <w:t>8,000</w:t>
            </w:r>
          </w:p>
        </w:tc>
        <w:tc>
          <w:tcPr>
            <w:tcW w:w="1012" w:type="dxa"/>
          </w:tcPr>
          <w:p w14:paraId="7A719555" w14:textId="77777777" w:rsidR="0057024E" w:rsidRPr="0057024E" w:rsidRDefault="0057024E" w:rsidP="0057024E">
            <w:pPr>
              <w:jc w:val="right"/>
              <w:rPr>
                <w:rFonts w:ascii="Arial" w:hAnsi="Arial" w:cs="Arial"/>
                <w:szCs w:val="22"/>
              </w:rPr>
            </w:pPr>
            <w:r w:rsidRPr="0057024E">
              <w:rPr>
                <w:rFonts w:ascii="Arial" w:hAnsi="Arial" w:cs="Arial"/>
                <w:szCs w:val="22"/>
              </w:rPr>
              <w:t>3,850</w:t>
            </w:r>
          </w:p>
        </w:tc>
        <w:tc>
          <w:tcPr>
            <w:tcW w:w="1050" w:type="dxa"/>
            <w:shd w:val="clear" w:color="auto" w:fill="auto"/>
          </w:tcPr>
          <w:p w14:paraId="727AD550" w14:textId="77777777" w:rsidR="0057024E" w:rsidRPr="0057024E" w:rsidRDefault="0057024E" w:rsidP="0057024E">
            <w:pPr>
              <w:jc w:val="right"/>
              <w:rPr>
                <w:rFonts w:ascii="Arial" w:hAnsi="Arial" w:cs="Arial"/>
                <w:szCs w:val="22"/>
              </w:rPr>
            </w:pPr>
            <w:r w:rsidRPr="0057024E">
              <w:rPr>
                <w:rFonts w:ascii="Arial" w:hAnsi="Arial" w:cs="Arial"/>
                <w:szCs w:val="22"/>
              </w:rPr>
              <w:t>12,000</w:t>
            </w:r>
          </w:p>
        </w:tc>
      </w:tr>
      <w:tr w:rsidR="0057024E" w:rsidRPr="0057024E" w14:paraId="63A0467D" w14:textId="77777777" w:rsidTr="0057024E">
        <w:tc>
          <w:tcPr>
            <w:tcW w:w="4536" w:type="dxa"/>
            <w:shd w:val="clear" w:color="auto" w:fill="auto"/>
          </w:tcPr>
          <w:p w14:paraId="22C4C6F9" w14:textId="77777777" w:rsidR="0057024E" w:rsidRPr="0057024E" w:rsidRDefault="0057024E" w:rsidP="0057024E">
            <w:pPr>
              <w:rPr>
                <w:rFonts w:ascii="Arial" w:hAnsi="Arial" w:cs="Arial"/>
                <w:szCs w:val="22"/>
              </w:rPr>
            </w:pPr>
            <w:r w:rsidRPr="0057024E">
              <w:rPr>
                <w:rFonts w:ascii="Arial" w:hAnsi="Arial" w:cs="Arial"/>
                <w:szCs w:val="22"/>
              </w:rPr>
              <w:t>Local Government Management Board – Layden House</w:t>
            </w:r>
          </w:p>
        </w:tc>
        <w:tc>
          <w:tcPr>
            <w:tcW w:w="1030" w:type="dxa"/>
          </w:tcPr>
          <w:p w14:paraId="72120603" w14:textId="77777777" w:rsidR="0057024E" w:rsidRPr="0057024E" w:rsidRDefault="0057024E" w:rsidP="0057024E">
            <w:pPr>
              <w:jc w:val="right"/>
              <w:rPr>
                <w:rFonts w:ascii="Arial" w:hAnsi="Arial" w:cs="Arial"/>
                <w:szCs w:val="22"/>
              </w:rPr>
            </w:pPr>
            <w:r w:rsidRPr="0057024E">
              <w:rPr>
                <w:rFonts w:ascii="Arial" w:hAnsi="Arial" w:cs="Arial"/>
                <w:szCs w:val="22"/>
              </w:rPr>
              <w:t>2,000</w:t>
            </w:r>
          </w:p>
        </w:tc>
        <w:tc>
          <w:tcPr>
            <w:tcW w:w="1012" w:type="dxa"/>
          </w:tcPr>
          <w:p w14:paraId="387D8CD6" w14:textId="77777777" w:rsidR="0057024E" w:rsidRPr="0057024E" w:rsidRDefault="0057024E" w:rsidP="0057024E">
            <w:pPr>
              <w:jc w:val="right"/>
              <w:rPr>
                <w:rFonts w:ascii="Arial" w:hAnsi="Arial" w:cs="Arial"/>
                <w:szCs w:val="22"/>
              </w:rPr>
            </w:pPr>
            <w:r w:rsidRPr="0057024E">
              <w:rPr>
                <w:rFonts w:ascii="Arial" w:hAnsi="Arial" w:cs="Arial"/>
                <w:szCs w:val="22"/>
              </w:rPr>
              <w:t>13,500</w:t>
            </w:r>
          </w:p>
        </w:tc>
        <w:tc>
          <w:tcPr>
            <w:tcW w:w="1012" w:type="dxa"/>
          </w:tcPr>
          <w:p w14:paraId="4390CF60" w14:textId="77777777" w:rsidR="0057024E" w:rsidRPr="0057024E" w:rsidRDefault="0057024E" w:rsidP="0057024E">
            <w:pPr>
              <w:jc w:val="right"/>
              <w:rPr>
                <w:rFonts w:ascii="Arial" w:hAnsi="Arial" w:cs="Arial"/>
                <w:szCs w:val="22"/>
              </w:rPr>
            </w:pPr>
            <w:r w:rsidRPr="0057024E">
              <w:rPr>
                <w:rFonts w:ascii="Arial" w:hAnsi="Arial" w:cs="Arial"/>
                <w:szCs w:val="22"/>
              </w:rPr>
              <w:t>500</w:t>
            </w:r>
          </w:p>
        </w:tc>
        <w:tc>
          <w:tcPr>
            <w:tcW w:w="1050" w:type="dxa"/>
            <w:shd w:val="clear" w:color="auto" w:fill="auto"/>
          </w:tcPr>
          <w:p w14:paraId="2570635A" w14:textId="77777777" w:rsidR="0057024E" w:rsidRPr="0057024E" w:rsidRDefault="0057024E" w:rsidP="0057024E">
            <w:pPr>
              <w:jc w:val="right"/>
              <w:rPr>
                <w:rFonts w:ascii="Arial" w:hAnsi="Arial" w:cs="Arial"/>
                <w:szCs w:val="22"/>
              </w:rPr>
            </w:pPr>
            <w:r w:rsidRPr="0057024E">
              <w:rPr>
                <w:rFonts w:ascii="Arial" w:hAnsi="Arial" w:cs="Arial"/>
                <w:szCs w:val="22"/>
              </w:rPr>
              <w:t>16,000</w:t>
            </w:r>
          </w:p>
        </w:tc>
      </w:tr>
      <w:tr w:rsidR="0057024E" w:rsidRPr="0057024E" w14:paraId="44952FE3" w14:textId="77777777" w:rsidTr="0057024E">
        <w:tc>
          <w:tcPr>
            <w:tcW w:w="4536" w:type="dxa"/>
            <w:shd w:val="clear" w:color="auto" w:fill="auto"/>
          </w:tcPr>
          <w:p w14:paraId="16BD1E9A" w14:textId="77777777" w:rsidR="0057024E" w:rsidRPr="0057024E" w:rsidRDefault="0057024E" w:rsidP="0057024E">
            <w:pPr>
              <w:rPr>
                <w:rFonts w:ascii="Arial" w:hAnsi="Arial" w:cs="Arial"/>
                <w:b/>
                <w:szCs w:val="22"/>
              </w:rPr>
            </w:pPr>
            <w:r w:rsidRPr="0057024E">
              <w:rPr>
                <w:rFonts w:ascii="Arial" w:hAnsi="Arial" w:cs="Arial"/>
                <w:b/>
                <w:szCs w:val="22"/>
              </w:rPr>
              <w:t>Total Funding Requirement</w:t>
            </w:r>
          </w:p>
        </w:tc>
        <w:tc>
          <w:tcPr>
            <w:tcW w:w="1030" w:type="dxa"/>
          </w:tcPr>
          <w:p w14:paraId="704BB0B7" w14:textId="77777777" w:rsidR="0057024E" w:rsidRPr="0057024E" w:rsidRDefault="0057024E" w:rsidP="0057024E">
            <w:pPr>
              <w:jc w:val="right"/>
              <w:rPr>
                <w:rFonts w:ascii="Arial" w:hAnsi="Arial" w:cs="Arial"/>
                <w:b/>
                <w:szCs w:val="22"/>
              </w:rPr>
            </w:pPr>
            <w:r w:rsidRPr="0057024E">
              <w:rPr>
                <w:rFonts w:ascii="Arial" w:hAnsi="Arial" w:cs="Arial"/>
                <w:b/>
                <w:szCs w:val="22"/>
              </w:rPr>
              <w:t>2,150</w:t>
            </w:r>
          </w:p>
        </w:tc>
        <w:tc>
          <w:tcPr>
            <w:tcW w:w="1012" w:type="dxa"/>
            <w:vAlign w:val="center"/>
          </w:tcPr>
          <w:p w14:paraId="22C75438" w14:textId="77777777" w:rsidR="0057024E" w:rsidRPr="0057024E" w:rsidRDefault="0057024E" w:rsidP="0057024E">
            <w:pPr>
              <w:jc w:val="right"/>
              <w:rPr>
                <w:rFonts w:ascii="Arial" w:hAnsi="Arial" w:cs="Arial"/>
                <w:b/>
                <w:szCs w:val="22"/>
              </w:rPr>
            </w:pPr>
            <w:r w:rsidRPr="0057024E">
              <w:rPr>
                <w:rFonts w:ascii="Arial" w:hAnsi="Arial" w:cs="Arial"/>
                <w:b/>
                <w:szCs w:val="22"/>
              </w:rPr>
              <w:t>21,500</w:t>
            </w:r>
          </w:p>
        </w:tc>
        <w:tc>
          <w:tcPr>
            <w:tcW w:w="1012" w:type="dxa"/>
            <w:vAlign w:val="center"/>
          </w:tcPr>
          <w:p w14:paraId="53F6A602" w14:textId="77777777" w:rsidR="0057024E" w:rsidRPr="0057024E" w:rsidRDefault="0057024E" w:rsidP="0057024E">
            <w:pPr>
              <w:jc w:val="right"/>
              <w:rPr>
                <w:rFonts w:ascii="Arial" w:hAnsi="Arial" w:cs="Arial"/>
                <w:b/>
                <w:szCs w:val="22"/>
              </w:rPr>
            </w:pPr>
            <w:r w:rsidRPr="0057024E">
              <w:rPr>
                <w:rFonts w:ascii="Arial" w:hAnsi="Arial" w:cs="Arial"/>
                <w:b/>
                <w:szCs w:val="22"/>
              </w:rPr>
              <w:t>3,850</w:t>
            </w:r>
          </w:p>
        </w:tc>
        <w:tc>
          <w:tcPr>
            <w:tcW w:w="1050" w:type="dxa"/>
            <w:shd w:val="clear" w:color="auto" w:fill="auto"/>
            <w:vAlign w:val="center"/>
          </w:tcPr>
          <w:p w14:paraId="384B8760" w14:textId="77777777" w:rsidR="0057024E" w:rsidRPr="0057024E" w:rsidRDefault="0057024E" w:rsidP="0057024E">
            <w:pPr>
              <w:jc w:val="right"/>
              <w:rPr>
                <w:rFonts w:ascii="Arial" w:hAnsi="Arial" w:cs="Arial"/>
                <w:b/>
                <w:szCs w:val="22"/>
              </w:rPr>
            </w:pPr>
            <w:r w:rsidRPr="0057024E">
              <w:rPr>
                <w:rFonts w:ascii="Arial" w:hAnsi="Arial" w:cs="Arial"/>
                <w:b/>
                <w:szCs w:val="22"/>
              </w:rPr>
              <w:t>28,000</w:t>
            </w:r>
          </w:p>
        </w:tc>
      </w:tr>
    </w:tbl>
    <w:p w14:paraId="4A6651C3" w14:textId="77777777" w:rsidR="00485B2A" w:rsidRDefault="00485B2A" w:rsidP="00CD14AC">
      <w:pPr>
        <w:pStyle w:val="MainText"/>
        <w:spacing w:line="240" w:lineRule="auto"/>
        <w:rPr>
          <w:rFonts w:ascii="Arial" w:hAnsi="Arial" w:cs="Arial"/>
          <w:b/>
          <w:szCs w:val="22"/>
        </w:rPr>
      </w:pPr>
    </w:p>
    <w:p w14:paraId="7CBA28B1" w14:textId="5225502A" w:rsidR="00CD14AC" w:rsidRPr="00CD14AC" w:rsidRDefault="00CD14AC" w:rsidP="00CD14AC">
      <w:pPr>
        <w:pStyle w:val="MainText"/>
        <w:spacing w:line="240" w:lineRule="auto"/>
        <w:rPr>
          <w:rFonts w:ascii="Arial" w:hAnsi="Arial" w:cs="Arial"/>
          <w:b/>
          <w:szCs w:val="22"/>
        </w:rPr>
      </w:pPr>
      <w:r w:rsidRPr="00CD14AC">
        <w:rPr>
          <w:rFonts w:ascii="Arial" w:hAnsi="Arial" w:cs="Arial"/>
          <w:b/>
          <w:szCs w:val="22"/>
        </w:rPr>
        <w:t>Conclusion</w:t>
      </w:r>
      <w:r w:rsidR="004C39A8">
        <w:rPr>
          <w:rFonts w:ascii="Arial" w:hAnsi="Arial" w:cs="Arial"/>
          <w:b/>
          <w:szCs w:val="22"/>
        </w:rPr>
        <w:t>s</w:t>
      </w:r>
    </w:p>
    <w:p w14:paraId="0CB81314" w14:textId="77777777" w:rsidR="00CD14AC" w:rsidRPr="00CD14AC" w:rsidRDefault="00CD14AC" w:rsidP="00CD14AC">
      <w:pPr>
        <w:pStyle w:val="ListParagraph"/>
        <w:numPr>
          <w:ilvl w:val="0"/>
          <w:numId w:val="1"/>
        </w:numPr>
        <w:rPr>
          <w:rFonts w:ascii="Arial" w:hAnsi="Arial" w:cs="Arial"/>
          <w:szCs w:val="22"/>
        </w:rPr>
      </w:pPr>
      <w:r w:rsidRPr="00CD14AC">
        <w:rPr>
          <w:rFonts w:ascii="Arial" w:hAnsi="Arial" w:cs="Arial"/>
          <w:szCs w:val="22"/>
        </w:rPr>
        <w:t>The medium-term financial strategy and provisional budget for next year show that securi</w:t>
      </w:r>
      <w:r w:rsidR="00B73AE0">
        <w:rPr>
          <w:rFonts w:ascii="Arial" w:hAnsi="Arial" w:cs="Arial"/>
          <w:szCs w:val="22"/>
        </w:rPr>
        <w:t>ng a balanced budget for 2016/17</w:t>
      </w:r>
      <w:r w:rsidRPr="00CD14AC">
        <w:rPr>
          <w:rFonts w:ascii="Arial" w:hAnsi="Arial" w:cs="Arial"/>
          <w:szCs w:val="22"/>
        </w:rPr>
        <w:t xml:space="preserve"> is achievable given the funding agreed for the year and also the cost reduction measures taken over the last </w:t>
      </w:r>
      <w:r w:rsidR="00DF285D">
        <w:rPr>
          <w:rFonts w:ascii="Arial" w:hAnsi="Arial" w:cs="Arial"/>
          <w:szCs w:val="22"/>
        </w:rPr>
        <w:t>thr</w:t>
      </w:r>
      <w:r w:rsidR="00714759">
        <w:rPr>
          <w:rFonts w:ascii="Arial" w:hAnsi="Arial" w:cs="Arial"/>
          <w:szCs w:val="22"/>
        </w:rPr>
        <w:t>ee</w:t>
      </w:r>
      <w:r w:rsidRPr="00CD14AC">
        <w:rPr>
          <w:rFonts w:ascii="Arial" w:hAnsi="Arial" w:cs="Arial"/>
          <w:szCs w:val="22"/>
        </w:rPr>
        <w:t xml:space="preserve"> years.</w:t>
      </w:r>
    </w:p>
    <w:p w14:paraId="5B0EE063" w14:textId="3BF4F420" w:rsidR="00F50C9D" w:rsidRPr="009F2FA7" w:rsidRDefault="00CD14AC" w:rsidP="009F2FA7">
      <w:pPr>
        <w:pStyle w:val="ListParagraph"/>
        <w:numPr>
          <w:ilvl w:val="0"/>
          <w:numId w:val="1"/>
        </w:numPr>
        <w:rPr>
          <w:rFonts w:ascii="Arial" w:hAnsi="Arial" w:cs="Arial"/>
          <w:szCs w:val="22"/>
        </w:rPr>
      </w:pPr>
      <w:r w:rsidRPr="003B60F3">
        <w:rPr>
          <w:rFonts w:ascii="Arial" w:hAnsi="Arial" w:cs="Arial"/>
          <w:szCs w:val="22"/>
        </w:rPr>
        <w:t xml:space="preserve">Work will continue on </w:t>
      </w:r>
      <w:r w:rsidR="00276EF7">
        <w:rPr>
          <w:rFonts w:ascii="Arial" w:hAnsi="Arial" w:cs="Arial"/>
          <w:szCs w:val="22"/>
        </w:rPr>
        <w:t xml:space="preserve">developing </w:t>
      </w:r>
      <w:r w:rsidRPr="003B60F3">
        <w:rPr>
          <w:rFonts w:ascii="Arial" w:hAnsi="Arial" w:cs="Arial"/>
          <w:szCs w:val="22"/>
        </w:rPr>
        <w:t xml:space="preserve">the LGA’s financial strategy, to ensure the financial sustainability of the LGA for the medium term.  </w:t>
      </w:r>
      <w:r w:rsidR="00F50C9D" w:rsidRPr="009F2FA7">
        <w:rPr>
          <w:rFonts w:ascii="Arial" w:hAnsi="Arial" w:cs="Arial"/>
          <w:b/>
        </w:rPr>
        <w:br w:type="page"/>
      </w:r>
    </w:p>
    <w:p w14:paraId="5313687D" w14:textId="565D799A" w:rsidR="00E3515A" w:rsidRPr="0021114E" w:rsidRDefault="000B5EBB" w:rsidP="00E3515A">
      <w:pPr>
        <w:pStyle w:val="MainText"/>
        <w:spacing w:line="240" w:lineRule="auto"/>
        <w:ind w:left="360"/>
        <w:rPr>
          <w:rFonts w:ascii="Arial" w:hAnsi="Arial" w:cs="Arial"/>
          <w:szCs w:val="22"/>
        </w:rPr>
      </w:pPr>
      <w:r w:rsidRPr="00286976">
        <w:rPr>
          <w:rFonts w:ascii="Arial" w:hAnsi="Arial" w:cs="Arial"/>
          <w:b/>
        </w:rPr>
        <w:lastRenderedPageBreak/>
        <w:t xml:space="preserve">APPENDIX </w:t>
      </w:r>
      <w:r>
        <w:rPr>
          <w:rFonts w:ascii="Arial" w:hAnsi="Arial" w:cs="Arial"/>
          <w:b/>
        </w:rPr>
        <w:t>A</w:t>
      </w:r>
      <w:r w:rsidRPr="00286976">
        <w:rPr>
          <w:rFonts w:ascii="Arial" w:hAnsi="Arial" w:cs="Arial"/>
          <w:b/>
        </w:rPr>
        <w:t xml:space="preserve"> – </w:t>
      </w:r>
      <w:r>
        <w:rPr>
          <w:rFonts w:ascii="Arial" w:hAnsi="Arial" w:cs="Arial"/>
          <w:b/>
        </w:rPr>
        <w:t>2016/17 Budget  – Consolidated Summary</w:t>
      </w:r>
      <w:r>
        <w:rPr>
          <w:rFonts w:ascii="Arial" w:hAnsi="Arial" w:cs="Arial"/>
          <w:b/>
        </w:rPr>
        <w:br/>
      </w:r>
    </w:p>
    <w:p w14:paraId="223DB0AA" w14:textId="458177DC" w:rsidR="000B5EBB" w:rsidRDefault="0050263A">
      <w:pPr>
        <w:spacing w:after="160" w:line="259" w:lineRule="auto"/>
        <w:rPr>
          <w:rFonts w:ascii="Arial" w:hAnsi="Arial" w:cs="Arial"/>
          <w:b/>
        </w:rPr>
      </w:pPr>
      <w:r w:rsidRPr="0050263A">
        <w:rPr>
          <w:noProof/>
        </w:rPr>
        <w:drawing>
          <wp:inline distT="0" distB="0" distL="0" distR="0" wp14:anchorId="3185CFFF" wp14:editId="4EBCF982">
            <wp:extent cx="5940425" cy="4567413"/>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567413"/>
                    </a:xfrm>
                    <a:prstGeom prst="rect">
                      <a:avLst/>
                    </a:prstGeom>
                    <a:noFill/>
                    <a:ln>
                      <a:noFill/>
                    </a:ln>
                  </pic:spPr>
                </pic:pic>
              </a:graphicData>
            </a:graphic>
          </wp:inline>
        </w:drawing>
      </w:r>
    </w:p>
    <w:p w14:paraId="61F1C4D0" w14:textId="77777777" w:rsidR="000B5EBB" w:rsidRDefault="000B5EBB">
      <w:pPr>
        <w:spacing w:after="160" w:line="259" w:lineRule="auto"/>
        <w:rPr>
          <w:rFonts w:ascii="Arial" w:hAnsi="Arial" w:cs="Arial"/>
          <w:b/>
        </w:rPr>
      </w:pPr>
      <w:r>
        <w:rPr>
          <w:rFonts w:ascii="Arial" w:hAnsi="Arial" w:cs="Arial"/>
          <w:b/>
        </w:rPr>
        <w:br w:type="page"/>
      </w:r>
    </w:p>
    <w:p w14:paraId="42BCE21E" w14:textId="77777777" w:rsidR="0050263A" w:rsidRDefault="000B5EBB" w:rsidP="000B5EBB">
      <w:pPr>
        <w:spacing w:after="160" w:line="259" w:lineRule="auto"/>
        <w:rPr>
          <w:rFonts w:ascii="Arial" w:hAnsi="Arial" w:cs="Arial"/>
          <w:b/>
        </w:rPr>
      </w:pPr>
      <w:r w:rsidRPr="00286976">
        <w:rPr>
          <w:rFonts w:ascii="Arial" w:hAnsi="Arial" w:cs="Arial"/>
          <w:b/>
        </w:rPr>
        <w:lastRenderedPageBreak/>
        <w:t xml:space="preserve">APPENDIX </w:t>
      </w:r>
      <w:r>
        <w:rPr>
          <w:rFonts w:ascii="Arial" w:hAnsi="Arial" w:cs="Arial"/>
          <w:b/>
        </w:rPr>
        <w:t>B1</w:t>
      </w:r>
      <w:r w:rsidRPr="00286976">
        <w:rPr>
          <w:rFonts w:ascii="Arial" w:hAnsi="Arial" w:cs="Arial"/>
          <w:b/>
        </w:rPr>
        <w:t xml:space="preserve"> – </w:t>
      </w:r>
      <w:r>
        <w:rPr>
          <w:rFonts w:ascii="Arial" w:hAnsi="Arial" w:cs="Arial"/>
          <w:b/>
        </w:rPr>
        <w:t>2016/17 Budget  – LGA</w:t>
      </w:r>
    </w:p>
    <w:p w14:paraId="7B37881F" w14:textId="77777777" w:rsidR="0050263A" w:rsidRDefault="0050263A" w:rsidP="000B5EBB">
      <w:pPr>
        <w:spacing w:after="160" w:line="259" w:lineRule="auto"/>
        <w:rPr>
          <w:rFonts w:ascii="Arial" w:hAnsi="Arial" w:cs="Arial"/>
          <w:b/>
        </w:rPr>
      </w:pPr>
    </w:p>
    <w:p w14:paraId="1A62889B" w14:textId="5B7C4E3F" w:rsidR="000B5EBB" w:rsidRDefault="0050263A" w:rsidP="000B5EBB">
      <w:pPr>
        <w:spacing w:after="160" w:line="259" w:lineRule="auto"/>
        <w:rPr>
          <w:rFonts w:ascii="Arial" w:hAnsi="Arial" w:cs="Arial"/>
          <w:b/>
        </w:rPr>
      </w:pPr>
      <w:r w:rsidRPr="0050263A">
        <w:rPr>
          <w:noProof/>
        </w:rPr>
        <w:drawing>
          <wp:inline distT="0" distB="0" distL="0" distR="0" wp14:anchorId="53692BEE" wp14:editId="2D8838F2">
            <wp:extent cx="5940425" cy="3956014"/>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56014"/>
                    </a:xfrm>
                    <a:prstGeom prst="rect">
                      <a:avLst/>
                    </a:prstGeom>
                    <a:noFill/>
                    <a:ln>
                      <a:noFill/>
                    </a:ln>
                  </pic:spPr>
                </pic:pic>
              </a:graphicData>
            </a:graphic>
          </wp:inline>
        </w:drawing>
      </w:r>
    </w:p>
    <w:p w14:paraId="4AD2B089" w14:textId="4FC5DF68" w:rsidR="0050263A" w:rsidRDefault="0050263A">
      <w:pPr>
        <w:spacing w:after="160" w:line="259" w:lineRule="auto"/>
        <w:rPr>
          <w:rFonts w:ascii="Arial" w:hAnsi="Arial" w:cs="Arial"/>
          <w:b/>
        </w:rPr>
      </w:pPr>
      <w:r>
        <w:rPr>
          <w:rFonts w:ascii="Arial" w:hAnsi="Arial" w:cs="Arial"/>
          <w:b/>
        </w:rPr>
        <w:br w:type="page"/>
      </w:r>
    </w:p>
    <w:p w14:paraId="75187E75" w14:textId="77777777" w:rsidR="0050263A" w:rsidRDefault="0050263A" w:rsidP="000B5EBB">
      <w:pPr>
        <w:spacing w:after="160" w:line="259" w:lineRule="auto"/>
        <w:rPr>
          <w:rFonts w:ascii="Arial" w:hAnsi="Arial" w:cs="Arial"/>
          <w:b/>
        </w:rPr>
      </w:pPr>
    </w:p>
    <w:p w14:paraId="0FCB55F5" w14:textId="77777777" w:rsidR="0050263A" w:rsidRDefault="000B5EBB" w:rsidP="000B5EBB">
      <w:pPr>
        <w:spacing w:after="160" w:line="259" w:lineRule="auto"/>
        <w:rPr>
          <w:rFonts w:ascii="Arial" w:hAnsi="Arial" w:cs="Arial"/>
          <w:b/>
        </w:rPr>
      </w:pPr>
      <w:r w:rsidRPr="00286976">
        <w:rPr>
          <w:rFonts w:ascii="Arial" w:hAnsi="Arial" w:cs="Arial"/>
          <w:b/>
        </w:rPr>
        <w:t xml:space="preserve">APPENDIX </w:t>
      </w:r>
      <w:r>
        <w:rPr>
          <w:rFonts w:ascii="Arial" w:hAnsi="Arial" w:cs="Arial"/>
          <w:b/>
        </w:rPr>
        <w:t xml:space="preserve">B2 </w:t>
      </w:r>
      <w:r w:rsidRPr="00286976">
        <w:rPr>
          <w:rFonts w:ascii="Arial" w:hAnsi="Arial" w:cs="Arial"/>
          <w:b/>
        </w:rPr>
        <w:t xml:space="preserve">– </w:t>
      </w:r>
      <w:r>
        <w:rPr>
          <w:rFonts w:ascii="Arial" w:hAnsi="Arial" w:cs="Arial"/>
          <w:b/>
        </w:rPr>
        <w:t>2016/17 Budget  – IDEA</w:t>
      </w:r>
    </w:p>
    <w:p w14:paraId="07650568" w14:textId="0DF4D2DB" w:rsidR="000B5EBB" w:rsidRDefault="000B5EBB" w:rsidP="000B5EBB">
      <w:pPr>
        <w:spacing w:after="160" w:line="259" w:lineRule="auto"/>
        <w:rPr>
          <w:rFonts w:ascii="Arial" w:hAnsi="Arial" w:cs="Arial"/>
          <w:b/>
        </w:rPr>
      </w:pPr>
      <w:r>
        <w:rPr>
          <w:rFonts w:ascii="Arial" w:hAnsi="Arial" w:cs="Arial"/>
          <w:b/>
        </w:rPr>
        <w:br/>
      </w:r>
      <w:r w:rsidR="0050263A" w:rsidRPr="0050263A">
        <w:rPr>
          <w:noProof/>
        </w:rPr>
        <w:drawing>
          <wp:inline distT="0" distB="0" distL="0" distR="0" wp14:anchorId="2C8B60E1" wp14:editId="721882AE">
            <wp:extent cx="5940425" cy="4321498"/>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321498"/>
                    </a:xfrm>
                    <a:prstGeom prst="rect">
                      <a:avLst/>
                    </a:prstGeom>
                    <a:noFill/>
                    <a:ln>
                      <a:noFill/>
                    </a:ln>
                  </pic:spPr>
                </pic:pic>
              </a:graphicData>
            </a:graphic>
          </wp:inline>
        </w:drawing>
      </w:r>
    </w:p>
    <w:p w14:paraId="511F5CE7" w14:textId="498D2DE3" w:rsidR="000B5EBB" w:rsidRDefault="000B5EBB" w:rsidP="000B5EBB">
      <w:pPr>
        <w:spacing w:after="160" w:line="259" w:lineRule="auto"/>
        <w:rPr>
          <w:rFonts w:ascii="Arial" w:hAnsi="Arial" w:cs="Arial"/>
          <w:b/>
        </w:rPr>
      </w:pPr>
      <w:r>
        <w:rPr>
          <w:rFonts w:ascii="Arial" w:hAnsi="Arial" w:cs="Arial"/>
          <w:b/>
        </w:rPr>
        <w:br w:type="page"/>
      </w:r>
    </w:p>
    <w:p w14:paraId="13088C1F" w14:textId="77777777" w:rsidR="000B5EBB" w:rsidRDefault="000B5EBB" w:rsidP="000B5EBB">
      <w:pPr>
        <w:spacing w:after="160" w:line="259" w:lineRule="auto"/>
        <w:rPr>
          <w:rFonts w:ascii="Arial" w:hAnsi="Arial" w:cs="Arial"/>
          <w:b/>
        </w:rPr>
      </w:pPr>
      <w:r w:rsidRPr="00286976">
        <w:rPr>
          <w:rFonts w:ascii="Arial" w:hAnsi="Arial" w:cs="Arial"/>
          <w:b/>
        </w:rPr>
        <w:lastRenderedPageBreak/>
        <w:t xml:space="preserve">APPENDIX </w:t>
      </w:r>
      <w:r>
        <w:rPr>
          <w:rFonts w:ascii="Arial" w:hAnsi="Arial" w:cs="Arial"/>
          <w:b/>
        </w:rPr>
        <w:t>B3</w:t>
      </w:r>
      <w:r w:rsidRPr="00286976">
        <w:rPr>
          <w:rFonts w:ascii="Arial" w:hAnsi="Arial" w:cs="Arial"/>
          <w:b/>
        </w:rPr>
        <w:t xml:space="preserve"> – </w:t>
      </w:r>
      <w:r>
        <w:rPr>
          <w:rFonts w:ascii="Arial" w:hAnsi="Arial" w:cs="Arial"/>
          <w:b/>
        </w:rPr>
        <w:t>2016/17 Budget  – LGMB</w:t>
      </w:r>
      <w:r>
        <w:rPr>
          <w:rFonts w:ascii="Arial" w:hAnsi="Arial" w:cs="Arial"/>
          <w:b/>
        </w:rPr>
        <w:br/>
      </w:r>
    </w:p>
    <w:p w14:paraId="711C2475" w14:textId="238BB00C" w:rsidR="0050263A" w:rsidRDefault="0050263A" w:rsidP="000B5EBB">
      <w:pPr>
        <w:spacing w:after="160" w:line="259" w:lineRule="auto"/>
        <w:rPr>
          <w:rFonts w:ascii="Arial" w:hAnsi="Arial" w:cs="Arial"/>
          <w:b/>
        </w:rPr>
      </w:pPr>
      <w:r w:rsidRPr="0050263A">
        <w:rPr>
          <w:noProof/>
        </w:rPr>
        <w:drawing>
          <wp:inline distT="0" distB="0" distL="0" distR="0" wp14:anchorId="5A164126" wp14:editId="3990A0AA">
            <wp:extent cx="5940425" cy="661329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613295"/>
                    </a:xfrm>
                    <a:prstGeom prst="rect">
                      <a:avLst/>
                    </a:prstGeom>
                    <a:noFill/>
                    <a:ln>
                      <a:noFill/>
                    </a:ln>
                  </pic:spPr>
                </pic:pic>
              </a:graphicData>
            </a:graphic>
          </wp:inline>
        </w:drawing>
      </w:r>
    </w:p>
    <w:p w14:paraId="3B3BE568" w14:textId="315A5282" w:rsidR="000B5EBB" w:rsidRDefault="000B5EBB" w:rsidP="000B5EBB">
      <w:pPr>
        <w:spacing w:after="160" w:line="259" w:lineRule="auto"/>
        <w:rPr>
          <w:rFonts w:ascii="Arial" w:hAnsi="Arial" w:cs="Arial"/>
          <w:b/>
        </w:rPr>
      </w:pPr>
      <w:r>
        <w:rPr>
          <w:rFonts w:ascii="Arial" w:hAnsi="Arial" w:cs="Arial"/>
          <w:b/>
        </w:rPr>
        <w:br w:type="page"/>
      </w:r>
    </w:p>
    <w:p w14:paraId="7C7066EE" w14:textId="77777777" w:rsidR="0050263A" w:rsidRDefault="000B5EBB">
      <w:pPr>
        <w:spacing w:after="160" w:line="259" w:lineRule="auto"/>
        <w:rPr>
          <w:rFonts w:ascii="Arial" w:hAnsi="Arial" w:cs="Arial"/>
          <w:b/>
        </w:rPr>
      </w:pPr>
      <w:r w:rsidRPr="00286976">
        <w:rPr>
          <w:rFonts w:ascii="Arial" w:hAnsi="Arial" w:cs="Arial"/>
          <w:b/>
        </w:rPr>
        <w:lastRenderedPageBreak/>
        <w:t xml:space="preserve">APPENDIX </w:t>
      </w:r>
      <w:r>
        <w:rPr>
          <w:rFonts w:ascii="Arial" w:hAnsi="Arial" w:cs="Arial"/>
          <w:b/>
        </w:rPr>
        <w:t>B4</w:t>
      </w:r>
      <w:r w:rsidRPr="00286976">
        <w:rPr>
          <w:rFonts w:ascii="Arial" w:hAnsi="Arial" w:cs="Arial"/>
          <w:b/>
        </w:rPr>
        <w:t xml:space="preserve"> – </w:t>
      </w:r>
      <w:r>
        <w:rPr>
          <w:rFonts w:ascii="Arial" w:hAnsi="Arial" w:cs="Arial"/>
          <w:b/>
        </w:rPr>
        <w:t>2016/17 Budget  – LGA Properties</w:t>
      </w:r>
    </w:p>
    <w:p w14:paraId="3BF29313" w14:textId="5EBBC77F" w:rsidR="000B5EBB" w:rsidRDefault="000B5EBB">
      <w:pPr>
        <w:spacing w:after="160" w:line="259" w:lineRule="auto"/>
        <w:rPr>
          <w:rFonts w:ascii="Arial" w:hAnsi="Arial" w:cs="Arial"/>
          <w:b/>
        </w:rPr>
      </w:pPr>
      <w:r>
        <w:rPr>
          <w:rFonts w:ascii="Arial" w:hAnsi="Arial" w:cs="Arial"/>
          <w:b/>
        </w:rPr>
        <w:br/>
      </w:r>
      <w:r w:rsidR="0050263A" w:rsidRPr="0050263A">
        <w:rPr>
          <w:noProof/>
        </w:rPr>
        <w:drawing>
          <wp:inline distT="0" distB="0" distL="0" distR="0" wp14:anchorId="098E2C77" wp14:editId="4AE7A877">
            <wp:extent cx="5940425" cy="7937689"/>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937689"/>
                    </a:xfrm>
                    <a:prstGeom prst="rect">
                      <a:avLst/>
                    </a:prstGeom>
                    <a:noFill/>
                    <a:ln>
                      <a:noFill/>
                    </a:ln>
                  </pic:spPr>
                </pic:pic>
              </a:graphicData>
            </a:graphic>
          </wp:inline>
        </w:drawing>
      </w:r>
      <w:r>
        <w:rPr>
          <w:rFonts w:ascii="Arial" w:hAnsi="Arial" w:cs="Arial"/>
          <w:b/>
        </w:rPr>
        <w:br w:type="page"/>
      </w:r>
    </w:p>
    <w:p w14:paraId="7EF5BCB2" w14:textId="6841B611" w:rsidR="00286976" w:rsidRPr="00286976" w:rsidRDefault="00286976" w:rsidP="00286976">
      <w:pPr>
        <w:pStyle w:val="MainText"/>
        <w:rPr>
          <w:rFonts w:ascii="Arial" w:hAnsi="Arial" w:cs="Arial"/>
        </w:rPr>
      </w:pPr>
      <w:r w:rsidRPr="00286976">
        <w:rPr>
          <w:rFonts w:ascii="Arial" w:hAnsi="Arial" w:cs="Arial"/>
          <w:b/>
        </w:rPr>
        <w:lastRenderedPageBreak/>
        <w:t xml:space="preserve">APPENDIX </w:t>
      </w:r>
      <w:r w:rsidR="00CB5464">
        <w:rPr>
          <w:rFonts w:ascii="Arial" w:hAnsi="Arial" w:cs="Arial"/>
          <w:b/>
        </w:rPr>
        <w:t>C</w:t>
      </w:r>
      <w:r w:rsidRPr="00286976">
        <w:rPr>
          <w:rFonts w:ascii="Arial" w:hAnsi="Arial" w:cs="Arial"/>
          <w:b/>
        </w:rPr>
        <w:t xml:space="preserve"> – RISK AND SENSITIVITY ANALYSIS</w:t>
      </w:r>
      <w:r>
        <w:rPr>
          <w:rFonts w:ascii="Arial" w:hAnsi="Arial" w:cs="Arial"/>
          <w:b/>
        </w:rPr>
        <w:t xml:space="preserve"> –</w:t>
      </w:r>
      <w:r>
        <w:rPr>
          <w:rFonts w:ascii="Arial" w:hAnsi="Arial" w:cs="Arial"/>
          <w:b/>
        </w:rPr>
        <w:br/>
        <w:t xml:space="preserve">Source </w:t>
      </w:r>
      <w:r w:rsidR="00204CB6">
        <w:rPr>
          <w:rFonts w:ascii="Arial" w:hAnsi="Arial" w:cs="Arial"/>
          <w:b/>
        </w:rPr>
        <w:t>:</w:t>
      </w:r>
      <w:r>
        <w:rPr>
          <w:rFonts w:ascii="Arial" w:hAnsi="Arial" w:cs="Arial"/>
          <w:b/>
        </w:rPr>
        <w:t xml:space="preserve"> 2016/17 to 2018/19 LGA Fina</w:t>
      </w:r>
      <w:r w:rsidR="00C9664D">
        <w:rPr>
          <w:rFonts w:ascii="Arial" w:hAnsi="Arial" w:cs="Arial"/>
          <w:b/>
        </w:rPr>
        <w:t>n</w:t>
      </w:r>
      <w:r>
        <w:rPr>
          <w:rFonts w:ascii="Arial" w:hAnsi="Arial" w:cs="Arial"/>
          <w:b/>
        </w:rPr>
        <w:t>cial Strategy January 2016.</w:t>
      </w:r>
    </w:p>
    <w:p w14:paraId="3454F02D" w14:textId="77777777" w:rsidR="00286976" w:rsidRPr="00286976" w:rsidRDefault="00286976" w:rsidP="00286976">
      <w:pPr>
        <w:pStyle w:val="MainText"/>
        <w:rPr>
          <w:rFonts w:ascii="Arial" w:hAnsi="Arial" w:cs="Arial"/>
        </w:rPr>
      </w:pPr>
      <w:r w:rsidRPr="00286976">
        <w:rPr>
          <w:rFonts w:ascii="Arial" w:hAnsi="Arial" w:cs="Arial"/>
        </w:rPr>
        <w:t>The table below identifies for key risks to the revenue budget the impact of different scenarios for each risk that would impact the numbers shown in the 3 year plans above. Some of these risks will be offset by cost reductions such as option 1. However it will not always be possible to remove all of the overheads to the business in relation to any specific business activity.</w:t>
      </w:r>
    </w:p>
    <w:p w14:paraId="398EBD66" w14:textId="77777777" w:rsidR="00286976" w:rsidRPr="00286976" w:rsidRDefault="00286976" w:rsidP="00286976">
      <w:pPr>
        <w:pStyle w:val="MainText"/>
        <w:rPr>
          <w:rFonts w:ascii="Arial" w:hAnsi="Arial" w:cs="Arial"/>
        </w:rPr>
      </w:pPr>
    </w:p>
    <w:tbl>
      <w:tblPr>
        <w:tblW w:w="9076" w:type="dxa"/>
        <w:tblInd w:w="113" w:type="dxa"/>
        <w:tblLook w:val="04A0" w:firstRow="1" w:lastRow="0" w:firstColumn="1" w:lastColumn="0" w:noHBand="0" w:noVBand="1"/>
      </w:tblPr>
      <w:tblGrid>
        <w:gridCol w:w="540"/>
        <w:gridCol w:w="4000"/>
        <w:gridCol w:w="1500"/>
        <w:gridCol w:w="1012"/>
        <w:gridCol w:w="1012"/>
        <w:gridCol w:w="1012"/>
      </w:tblGrid>
      <w:tr w:rsidR="00286976" w:rsidRPr="00286976" w14:paraId="31A1E429" w14:textId="77777777" w:rsidTr="00EC12E5">
        <w:trPr>
          <w:trHeight w:val="900"/>
        </w:trPr>
        <w:tc>
          <w:tcPr>
            <w:tcW w:w="540" w:type="dxa"/>
            <w:tcBorders>
              <w:top w:val="single" w:sz="4" w:space="0" w:color="auto"/>
              <w:left w:val="single" w:sz="4" w:space="0" w:color="auto"/>
              <w:bottom w:val="single" w:sz="4" w:space="0" w:color="auto"/>
              <w:right w:val="single" w:sz="4" w:space="0" w:color="auto"/>
            </w:tcBorders>
            <w:shd w:val="clear" w:color="000000" w:fill="D9D9D9"/>
            <w:noWrap/>
            <w:hideMark/>
          </w:tcPr>
          <w:p w14:paraId="3404BDBC" w14:textId="77777777" w:rsidR="00286976" w:rsidRPr="00286976" w:rsidRDefault="00286976" w:rsidP="00EC12E5">
            <w:pPr>
              <w:rPr>
                <w:rFonts w:ascii="Arial" w:hAnsi="Arial" w:cs="Arial"/>
                <w:sz w:val="20"/>
              </w:rPr>
            </w:pPr>
            <w:r w:rsidRPr="00286976">
              <w:rPr>
                <w:rFonts w:ascii="Arial" w:hAnsi="Arial" w:cs="Arial"/>
                <w:sz w:val="20"/>
              </w:rPr>
              <w:t> </w:t>
            </w:r>
          </w:p>
        </w:tc>
        <w:tc>
          <w:tcPr>
            <w:tcW w:w="4000" w:type="dxa"/>
            <w:tcBorders>
              <w:top w:val="single" w:sz="4" w:space="0" w:color="auto"/>
              <w:left w:val="nil"/>
              <w:bottom w:val="single" w:sz="4" w:space="0" w:color="auto"/>
              <w:right w:val="single" w:sz="4" w:space="0" w:color="auto"/>
            </w:tcBorders>
            <w:shd w:val="clear" w:color="000000" w:fill="D9D9D9"/>
            <w:noWrap/>
            <w:hideMark/>
          </w:tcPr>
          <w:p w14:paraId="34EF9A4F" w14:textId="77777777" w:rsidR="00286976" w:rsidRPr="00286976" w:rsidRDefault="00286976" w:rsidP="00EC12E5">
            <w:pPr>
              <w:rPr>
                <w:rFonts w:ascii="Arial" w:hAnsi="Arial" w:cs="Arial"/>
                <w:b/>
                <w:bCs/>
                <w:sz w:val="20"/>
              </w:rPr>
            </w:pPr>
            <w:r w:rsidRPr="00286976">
              <w:rPr>
                <w:rFonts w:ascii="Arial" w:hAnsi="Arial" w:cs="Arial"/>
                <w:b/>
                <w:bCs/>
                <w:sz w:val="20"/>
              </w:rPr>
              <w:t>Risk</w:t>
            </w:r>
          </w:p>
        </w:tc>
        <w:tc>
          <w:tcPr>
            <w:tcW w:w="1500" w:type="dxa"/>
            <w:tcBorders>
              <w:top w:val="single" w:sz="4" w:space="0" w:color="auto"/>
              <w:left w:val="nil"/>
              <w:bottom w:val="single" w:sz="4" w:space="0" w:color="auto"/>
              <w:right w:val="single" w:sz="4" w:space="0" w:color="auto"/>
            </w:tcBorders>
            <w:shd w:val="clear" w:color="000000" w:fill="D9D9D9"/>
            <w:noWrap/>
            <w:hideMark/>
          </w:tcPr>
          <w:p w14:paraId="66FF8756" w14:textId="77777777" w:rsidR="00286976" w:rsidRPr="00286976" w:rsidRDefault="00286976" w:rsidP="00EC12E5">
            <w:pPr>
              <w:rPr>
                <w:rFonts w:ascii="Arial" w:hAnsi="Arial" w:cs="Arial"/>
                <w:b/>
                <w:bCs/>
                <w:sz w:val="20"/>
              </w:rPr>
            </w:pPr>
            <w:r w:rsidRPr="00286976">
              <w:rPr>
                <w:rFonts w:ascii="Arial" w:hAnsi="Arial" w:cs="Arial"/>
                <w:b/>
                <w:bCs/>
                <w:sz w:val="20"/>
              </w:rPr>
              <w:t>Entity</w:t>
            </w:r>
          </w:p>
        </w:tc>
        <w:tc>
          <w:tcPr>
            <w:tcW w:w="1012" w:type="dxa"/>
            <w:tcBorders>
              <w:top w:val="single" w:sz="4" w:space="0" w:color="auto"/>
              <w:left w:val="nil"/>
              <w:bottom w:val="single" w:sz="4" w:space="0" w:color="auto"/>
              <w:right w:val="single" w:sz="4" w:space="0" w:color="auto"/>
            </w:tcBorders>
            <w:shd w:val="clear" w:color="000000" w:fill="D9D9D9"/>
            <w:hideMark/>
          </w:tcPr>
          <w:p w14:paraId="73F7E8BF" w14:textId="77777777" w:rsidR="00286976" w:rsidRPr="00286976" w:rsidRDefault="00286976" w:rsidP="00EC12E5">
            <w:pPr>
              <w:jc w:val="center"/>
              <w:rPr>
                <w:rFonts w:ascii="Arial" w:hAnsi="Arial" w:cs="Arial"/>
                <w:b/>
                <w:bCs/>
                <w:color w:val="000000"/>
                <w:szCs w:val="22"/>
              </w:rPr>
            </w:pPr>
            <w:r w:rsidRPr="00286976">
              <w:rPr>
                <w:rFonts w:ascii="Arial" w:hAnsi="Arial" w:cs="Arial"/>
                <w:b/>
                <w:bCs/>
                <w:color w:val="000000"/>
                <w:szCs w:val="22"/>
              </w:rPr>
              <w:t>2016/17</w:t>
            </w:r>
            <w:r w:rsidRPr="00286976">
              <w:rPr>
                <w:rFonts w:ascii="Arial" w:hAnsi="Arial" w:cs="Arial"/>
                <w:b/>
                <w:bCs/>
                <w:color w:val="000000"/>
                <w:szCs w:val="22"/>
              </w:rPr>
              <w:br/>
            </w:r>
            <w:r w:rsidRPr="00286976">
              <w:rPr>
                <w:rFonts w:ascii="Arial" w:hAnsi="Arial" w:cs="Arial"/>
                <w:b/>
                <w:bCs/>
                <w:color w:val="000000"/>
                <w:szCs w:val="22"/>
              </w:rPr>
              <w:br/>
              <w:t>£'000</w:t>
            </w:r>
          </w:p>
        </w:tc>
        <w:tc>
          <w:tcPr>
            <w:tcW w:w="1012" w:type="dxa"/>
            <w:tcBorders>
              <w:top w:val="single" w:sz="4" w:space="0" w:color="auto"/>
              <w:left w:val="nil"/>
              <w:bottom w:val="single" w:sz="4" w:space="0" w:color="auto"/>
              <w:right w:val="single" w:sz="4" w:space="0" w:color="auto"/>
            </w:tcBorders>
            <w:shd w:val="clear" w:color="000000" w:fill="D9D9D9"/>
            <w:hideMark/>
          </w:tcPr>
          <w:p w14:paraId="08A8E6EB" w14:textId="77777777" w:rsidR="00286976" w:rsidRPr="00286976" w:rsidRDefault="00286976" w:rsidP="00EC12E5">
            <w:pPr>
              <w:jc w:val="center"/>
              <w:rPr>
                <w:rFonts w:ascii="Arial" w:hAnsi="Arial" w:cs="Arial"/>
                <w:b/>
                <w:bCs/>
                <w:color w:val="000000"/>
                <w:szCs w:val="22"/>
              </w:rPr>
            </w:pPr>
            <w:r w:rsidRPr="00286976">
              <w:rPr>
                <w:rFonts w:ascii="Arial" w:hAnsi="Arial" w:cs="Arial"/>
                <w:b/>
                <w:bCs/>
                <w:color w:val="000000"/>
                <w:szCs w:val="22"/>
              </w:rPr>
              <w:t>2017/18</w:t>
            </w:r>
            <w:r w:rsidRPr="00286976">
              <w:rPr>
                <w:rFonts w:ascii="Arial" w:hAnsi="Arial" w:cs="Arial"/>
                <w:b/>
                <w:bCs/>
                <w:color w:val="000000"/>
                <w:szCs w:val="22"/>
              </w:rPr>
              <w:br/>
            </w:r>
            <w:r w:rsidRPr="00286976">
              <w:rPr>
                <w:rFonts w:ascii="Arial" w:hAnsi="Arial" w:cs="Arial"/>
                <w:b/>
                <w:bCs/>
                <w:color w:val="000000"/>
                <w:szCs w:val="22"/>
              </w:rPr>
              <w:br/>
              <w:t>£'000</w:t>
            </w:r>
          </w:p>
        </w:tc>
        <w:tc>
          <w:tcPr>
            <w:tcW w:w="1012" w:type="dxa"/>
            <w:tcBorders>
              <w:top w:val="single" w:sz="4" w:space="0" w:color="auto"/>
              <w:left w:val="nil"/>
              <w:bottom w:val="single" w:sz="4" w:space="0" w:color="auto"/>
              <w:right w:val="single" w:sz="4" w:space="0" w:color="auto"/>
            </w:tcBorders>
            <w:shd w:val="clear" w:color="000000" w:fill="D9D9D9"/>
            <w:hideMark/>
          </w:tcPr>
          <w:p w14:paraId="52AF7ED7" w14:textId="77777777" w:rsidR="00286976" w:rsidRPr="00286976" w:rsidRDefault="00286976" w:rsidP="00EC12E5">
            <w:pPr>
              <w:jc w:val="center"/>
              <w:rPr>
                <w:rFonts w:ascii="Arial" w:hAnsi="Arial" w:cs="Arial"/>
                <w:b/>
                <w:bCs/>
                <w:color w:val="000000"/>
                <w:szCs w:val="22"/>
              </w:rPr>
            </w:pPr>
            <w:r w:rsidRPr="00286976">
              <w:rPr>
                <w:rFonts w:ascii="Arial" w:hAnsi="Arial" w:cs="Arial"/>
                <w:b/>
                <w:bCs/>
                <w:color w:val="000000"/>
                <w:szCs w:val="22"/>
              </w:rPr>
              <w:t>2018/19</w:t>
            </w:r>
            <w:r w:rsidRPr="00286976">
              <w:rPr>
                <w:rFonts w:ascii="Arial" w:hAnsi="Arial" w:cs="Arial"/>
                <w:b/>
                <w:bCs/>
                <w:color w:val="000000"/>
                <w:szCs w:val="22"/>
              </w:rPr>
              <w:br/>
            </w:r>
            <w:r w:rsidRPr="00286976">
              <w:rPr>
                <w:rFonts w:ascii="Arial" w:hAnsi="Arial" w:cs="Arial"/>
                <w:b/>
                <w:bCs/>
                <w:color w:val="000000"/>
                <w:szCs w:val="22"/>
              </w:rPr>
              <w:br/>
              <w:t>£'000</w:t>
            </w:r>
          </w:p>
        </w:tc>
      </w:tr>
      <w:tr w:rsidR="00286976" w:rsidRPr="00286976" w14:paraId="63D5ACB9" w14:textId="77777777" w:rsidTr="00EC12E5">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2ABABB82" w14:textId="77777777" w:rsidR="00286976" w:rsidRPr="00286976" w:rsidRDefault="00286976" w:rsidP="00EC12E5">
            <w:pPr>
              <w:jc w:val="right"/>
              <w:rPr>
                <w:rFonts w:ascii="Arial" w:hAnsi="Arial" w:cs="Arial"/>
                <w:sz w:val="20"/>
              </w:rPr>
            </w:pPr>
            <w:r w:rsidRPr="00286976">
              <w:rPr>
                <w:rFonts w:ascii="Arial" w:hAnsi="Arial" w:cs="Arial"/>
                <w:sz w:val="20"/>
              </w:rPr>
              <w:t>1</w:t>
            </w:r>
          </w:p>
        </w:tc>
        <w:tc>
          <w:tcPr>
            <w:tcW w:w="4000" w:type="dxa"/>
            <w:tcBorders>
              <w:top w:val="nil"/>
              <w:left w:val="nil"/>
              <w:bottom w:val="single" w:sz="4" w:space="0" w:color="auto"/>
              <w:right w:val="single" w:sz="4" w:space="0" w:color="auto"/>
            </w:tcBorders>
            <w:shd w:val="clear" w:color="auto" w:fill="auto"/>
            <w:hideMark/>
          </w:tcPr>
          <w:p w14:paraId="58B8300F" w14:textId="77777777" w:rsidR="00286976" w:rsidRPr="00286976" w:rsidRDefault="00286976" w:rsidP="00EC12E5">
            <w:pPr>
              <w:rPr>
                <w:rFonts w:ascii="Arial" w:hAnsi="Arial" w:cs="Arial"/>
                <w:sz w:val="20"/>
              </w:rPr>
            </w:pPr>
            <w:r w:rsidRPr="00286976">
              <w:rPr>
                <w:rFonts w:ascii="Arial" w:hAnsi="Arial" w:cs="Arial"/>
                <w:sz w:val="20"/>
              </w:rPr>
              <w:t>RSG movement to worst case scenario</w:t>
            </w:r>
          </w:p>
        </w:tc>
        <w:tc>
          <w:tcPr>
            <w:tcW w:w="1500" w:type="dxa"/>
            <w:tcBorders>
              <w:top w:val="nil"/>
              <w:left w:val="nil"/>
              <w:bottom w:val="single" w:sz="4" w:space="0" w:color="auto"/>
              <w:right w:val="single" w:sz="4" w:space="0" w:color="auto"/>
            </w:tcBorders>
            <w:shd w:val="clear" w:color="auto" w:fill="auto"/>
            <w:hideMark/>
          </w:tcPr>
          <w:p w14:paraId="2D189461" w14:textId="77777777" w:rsidR="00286976" w:rsidRPr="00286976" w:rsidRDefault="00286976" w:rsidP="00EC12E5">
            <w:pPr>
              <w:rPr>
                <w:rFonts w:ascii="Arial" w:hAnsi="Arial" w:cs="Arial"/>
                <w:sz w:val="20"/>
              </w:rPr>
            </w:pPr>
            <w:r w:rsidRPr="00286976">
              <w:rPr>
                <w:rFonts w:ascii="Arial" w:hAnsi="Arial" w:cs="Arial"/>
                <w:sz w:val="20"/>
              </w:rPr>
              <w:t>IDEA</w:t>
            </w:r>
          </w:p>
        </w:tc>
        <w:tc>
          <w:tcPr>
            <w:tcW w:w="1012" w:type="dxa"/>
            <w:tcBorders>
              <w:top w:val="nil"/>
              <w:left w:val="nil"/>
              <w:bottom w:val="single" w:sz="4" w:space="0" w:color="auto"/>
              <w:right w:val="single" w:sz="4" w:space="0" w:color="auto"/>
            </w:tcBorders>
            <w:shd w:val="clear" w:color="auto" w:fill="auto"/>
            <w:hideMark/>
          </w:tcPr>
          <w:p w14:paraId="23011A6B" w14:textId="77777777" w:rsidR="00286976" w:rsidRPr="00286976" w:rsidRDefault="00286976" w:rsidP="00EC12E5">
            <w:pPr>
              <w:jc w:val="right"/>
              <w:rPr>
                <w:rFonts w:ascii="Arial" w:hAnsi="Arial" w:cs="Arial"/>
                <w:sz w:val="20"/>
              </w:rPr>
            </w:pPr>
            <w:r w:rsidRPr="00286976">
              <w:rPr>
                <w:rFonts w:ascii="Arial" w:hAnsi="Arial" w:cs="Arial"/>
                <w:sz w:val="20"/>
              </w:rPr>
              <w:t xml:space="preserve">820 </w:t>
            </w:r>
          </w:p>
        </w:tc>
        <w:tc>
          <w:tcPr>
            <w:tcW w:w="1012" w:type="dxa"/>
            <w:tcBorders>
              <w:top w:val="nil"/>
              <w:left w:val="nil"/>
              <w:bottom w:val="single" w:sz="4" w:space="0" w:color="auto"/>
              <w:right w:val="single" w:sz="4" w:space="0" w:color="auto"/>
            </w:tcBorders>
            <w:shd w:val="clear" w:color="auto" w:fill="auto"/>
            <w:hideMark/>
          </w:tcPr>
          <w:p w14:paraId="7C5F31CA" w14:textId="77777777" w:rsidR="00286976" w:rsidRPr="00286976" w:rsidRDefault="00286976" w:rsidP="00EC12E5">
            <w:pPr>
              <w:jc w:val="right"/>
              <w:rPr>
                <w:rFonts w:ascii="Arial" w:hAnsi="Arial" w:cs="Arial"/>
                <w:sz w:val="20"/>
              </w:rPr>
            </w:pPr>
            <w:r w:rsidRPr="00286976">
              <w:rPr>
                <w:rFonts w:ascii="Arial" w:hAnsi="Arial" w:cs="Arial"/>
                <w:sz w:val="20"/>
              </w:rPr>
              <w:t xml:space="preserve">3,180 </w:t>
            </w:r>
          </w:p>
        </w:tc>
        <w:tc>
          <w:tcPr>
            <w:tcW w:w="1012" w:type="dxa"/>
            <w:tcBorders>
              <w:top w:val="nil"/>
              <w:left w:val="nil"/>
              <w:bottom w:val="single" w:sz="4" w:space="0" w:color="auto"/>
              <w:right w:val="single" w:sz="4" w:space="0" w:color="auto"/>
            </w:tcBorders>
            <w:shd w:val="clear" w:color="auto" w:fill="auto"/>
            <w:hideMark/>
          </w:tcPr>
          <w:p w14:paraId="6B06180D" w14:textId="77777777" w:rsidR="00286976" w:rsidRPr="00286976" w:rsidRDefault="00286976" w:rsidP="00EC12E5">
            <w:pPr>
              <w:jc w:val="right"/>
              <w:rPr>
                <w:rFonts w:ascii="Arial" w:hAnsi="Arial" w:cs="Arial"/>
                <w:sz w:val="20"/>
              </w:rPr>
            </w:pPr>
            <w:r w:rsidRPr="00286976">
              <w:rPr>
                <w:rFonts w:ascii="Arial" w:hAnsi="Arial" w:cs="Arial"/>
                <w:sz w:val="20"/>
              </w:rPr>
              <w:t xml:space="preserve">5,250 </w:t>
            </w:r>
          </w:p>
        </w:tc>
      </w:tr>
      <w:tr w:rsidR="00286976" w:rsidRPr="00286976" w14:paraId="5BD60640" w14:textId="77777777" w:rsidTr="00EC12E5">
        <w:trPr>
          <w:trHeight w:val="255"/>
        </w:trPr>
        <w:tc>
          <w:tcPr>
            <w:tcW w:w="540" w:type="dxa"/>
            <w:tcBorders>
              <w:top w:val="nil"/>
              <w:left w:val="single" w:sz="4" w:space="0" w:color="auto"/>
              <w:bottom w:val="single" w:sz="4" w:space="0" w:color="auto"/>
              <w:right w:val="single" w:sz="4" w:space="0" w:color="auto"/>
            </w:tcBorders>
            <w:shd w:val="clear" w:color="auto" w:fill="auto"/>
            <w:hideMark/>
          </w:tcPr>
          <w:p w14:paraId="175014BE" w14:textId="77777777" w:rsidR="00286976" w:rsidRPr="00286976" w:rsidRDefault="00286976" w:rsidP="00EC12E5">
            <w:pPr>
              <w:jc w:val="right"/>
              <w:rPr>
                <w:rFonts w:ascii="Arial" w:hAnsi="Arial" w:cs="Arial"/>
                <w:sz w:val="20"/>
              </w:rPr>
            </w:pPr>
            <w:r w:rsidRPr="00286976">
              <w:rPr>
                <w:rFonts w:ascii="Arial" w:hAnsi="Arial" w:cs="Arial"/>
                <w:sz w:val="20"/>
              </w:rPr>
              <w:t>2</w:t>
            </w:r>
          </w:p>
        </w:tc>
        <w:tc>
          <w:tcPr>
            <w:tcW w:w="4000" w:type="dxa"/>
            <w:tcBorders>
              <w:top w:val="nil"/>
              <w:left w:val="nil"/>
              <w:bottom w:val="single" w:sz="4" w:space="0" w:color="auto"/>
              <w:right w:val="single" w:sz="4" w:space="0" w:color="auto"/>
            </w:tcBorders>
            <w:shd w:val="clear" w:color="auto" w:fill="auto"/>
            <w:hideMark/>
          </w:tcPr>
          <w:p w14:paraId="76388733" w14:textId="77777777" w:rsidR="00286976" w:rsidRPr="00286976" w:rsidRDefault="00286976" w:rsidP="00EC12E5">
            <w:pPr>
              <w:rPr>
                <w:rFonts w:ascii="Arial" w:hAnsi="Arial" w:cs="Arial"/>
                <w:sz w:val="20"/>
              </w:rPr>
            </w:pPr>
            <w:r w:rsidRPr="00286976">
              <w:rPr>
                <w:rFonts w:ascii="Arial" w:hAnsi="Arial" w:cs="Arial"/>
                <w:sz w:val="20"/>
              </w:rPr>
              <w:t>Additional 1% on staffing costs</w:t>
            </w:r>
          </w:p>
        </w:tc>
        <w:tc>
          <w:tcPr>
            <w:tcW w:w="1500" w:type="dxa"/>
            <w:tcBorders>
              <w:top w:val="nil"/>
              <w:left w:val="nil"/>
              <w:bottom w:val="single" w:sz="4" w:space="0" w:color="auto"/>
              <w:right w:val="single" w:sz="4" w:space="0" w:color="auto"/>
            </w:tcBorders>
            <w:shd w:val="clear" w:color="auto" w:fill="auto"/>
            <w:hideMark/>
          </w:tcPr>
          <w:p w14:paraId="71A7A8FC" w14:textId="77777777" w:rsidR="00286976" w:rsidRPr="00286976" w:rsidRDefault="00286976" w:rsidP="00EC12E5">
            <w:pPr>
              <w:rPr>
                <w:rFonts w:ascii="Arial" w:hAnsi="Arial" w:cs="Arial"/>
                <w:sz w:val="20"/>
              </w:rPr>
            </w:pPr>
            <w:r w:rsidRPr="00286976">
              <w:rPr>
                <w:rFonts w:ascii="Arial" w:hAnsi="Arial" w:cs="Arial"/>
                <w:sz w:val="20"/>
              </w:rPr>
              <w:t>LGA and IDEA</w:t>
            </w:r>
          </w:p>
        </w:tc>
        <w:tc>
          <w:tcPr>
            <w:tcW w:w="1012" w:type="dxa"/>
            <w:tcBorders>
              <w:top w:val="nil"/>
              <w:left w:val="nil"/>
              <w:bottom w:val="single" w:sz="4" w:space="0" w:color="auto"/>
              <w:right w:val="single" w:sz="4" w:space="0" w:color="auto"/>
            </w:tcBorders>
            <w:shd w:val="clear" w:color="auto" w:fill="auto"/>
            <w:hideMark/>
          </w:tcPr>
          <w:p w14:paraId="480AB652" w14:textId="77777777" w:rsidR="00286976" w:rsidRPr="00286976" w:rsidRDefault="00286976" w:rsidP="00EC12E5">
            <w:pPr>
              <w:jc w:val="right"/>
              <w:rPr>
                <w:rFonts w:ascii="Arial" w:hAnsi="Arial" w:cs="Arial"/>
                <w:sz w:val="20"/>
              </w:rPr>
            </w:pPr>
            <w:r w:rsidRPr="00286976">
              <w:rPr>
                <w:rFonts w:ascii="Arial" w:hAnsi="Arial" w:cs="Arial"/>
                <w:sz w:val="20"/>
              </w:rPr>
              <w:t xml:space="preserve">160 </w:t>
            </w:r>
          </w:p>
        </w:tc>
        <w:tc>
          <w:tcPr>
            <w:tcW w:w="1012" w:type="dxa"/>
            <w:tcBorders>
              <w:top w:val="nil"/>
              <w:left w:val="nil"/>
              <w:bottom w:val="single" w:sz="4" w:space="0" w:color="auto"/>
              <w:right w:val="single" w:sz="4" w:space="0" w:color="auto"/>
            </w:tcBorders>
            <w:shd w:val="clear" w:color="auto" w:fill="auto"/>
            <w:hideMark/>
          </w:tcPr>
          <w:p w14:paraId="5E013B7C" w14:textId="77777777" w:rsidR="00286976" w:rsidRPr="00286976" w:rsidRDefault="00286976" w:rsidP="00EC12E5">
            <w:pPr>
              <w:jc w:val="right"/>
              <w:rPr>
                <w:rFonts w:ascii="Arial" w:hAnsi="Arial" w:cs="Arial"/>
                <w:sz w:val="20"/>
              </w:rPr>
            </w:pPr>
            <w:r w:rsidRPr="00286976">
              <w:rPr>
                <w:rFonts w:ascii="Arial" w:hAnsi="Arial" w:cs="Arial"/>
                <w:sz w:val="20"/>
              </w:rPr>
              <w:t xml:space="preserve">320 </w:t>
            </w:r>
          </w:p>
        </w:tc>
        <w:tc>
          <w:tcPr>
            <w:tcW w:w="1012" w:type="dxa"/>
            <w:tcBorders>
              <w:top w:val="nil"/>
              <w:left w:val="nil"/>
              <w:bottom w:val="single" w:sz="4" w:space="0" w:color="auto"/>
              <w:right w:val="single" w:sz="4" w:space="0" w:color="auto"/>
            </w:tcBorders>
            <w:shd w:val="clear" w:color="auto" w:fill="auto"/>
            <w:hideMark/>
          </w:tcPr>
          <w:p w14:paraId="7053D9C3" w14:textId="77777777" w:rsidR="00286976" w:rsidRPr="00286976" w:rsidRDefault="00286976" w:rsidP="00EC12E5">
            <w:pPr>
              <w:jc w:val="right"/>
              <w:rPr>
                <w:rFonts w:ascii="Arial" w:hAnsi="Arial" w:cs="Arial"/>
                <w:sz w:val="20"/>
              </w:rPr>
            </w:pPr>
            <w:r w:rsidRPr="00286976">
              <w:rPr>
                <w:rFonts w:ascii="Arial" w:hAnsi="Arial" w:cs="Arial"/>
                <w:sz w:val="20"/>
              </w:rPr>
              <w:t xml:space="preserve">480 </w:t>
            </w:r>
          </w:p>
        </w:tc>
      </w:tr>
      <w:tr w:rsidR="00286976" w:rsidRPr="00286976" w14:paraId="360B3976" w14:textId="77777777" w:rsidTr="00EC12E5">
        <w:trPr>
          <w:trHeight w:val="765"/>
        </w:trPr>
        <w:tc>
          <w:tcPr>
            <w:tcW w:w="540" w:type="dxa"/>
            <w:tcBorders>
              <w:top w:val="nil"/>
              <w:left w:val="single" w:sz="4" w:space="0" w:color="auto"/>
              <w:bottom w:val="single" w:sz="4" w:space="0" w:color="auto"/>
              <w:right w:val="single" w:sz="4" w:space="0" w:color="auto"/>
            </w:tcBorders>
            <w:shd w:val="clear" w:color="auto" w:fill="auto"/>
            <w:hideMark/>
          </w:tcPr>
          <w:p w14:paraId="3CBA9B31" w14:textId="77777777" w:rsidR="00286976" w:rsidRPr="00286976" w:rsidRDefault="00286976" w:rsidP="00EC12E5">
            <w:pPr>
              <w:jc w:val="right"/>
              <w:rPr>
                <w:rFonts w:ascii="Arial" w:hAnsi="Arial" w:cs="Arial"/>
                <w:sz w:val="20"/>
              </w:rPr>
            </w:pPr>
            <w:r w:rsidRPr="00286976">
              <w:rPr>
                <w:rFonts w:ascii="Arial" w:hAnsi="Arial" w:cs="Arial"/>
                <w:sz w:val="20"/>
              </w:rPr>
              <w:t>3</w:t>
            </w:r>
          </w:p>
        </w:tc>
        <w:tc>
          <w:tcPr>
            <w:tcW w:w="4000" w:type="dxa"/>
            <w:tcBorders>
              <w:top w:val="nil"/>
              <w:left w:val="nil"/>
              <w:bottom w:val="single" w:sz="4" w:space="0" w:color="auto"/>
              <w:right w:val="single" w:sz="4" w:space="0" w:color="auto"/>
            </w:tcBorders>
            <w:shd w:val="clear" w:color="auto" w:fill="auto"/>
            <w:hideMark/>
          </w:tcPr>
          <w:p w14:paraId="5DE08DC0" w14:textId="77777777" w:rsidR="00286976" w:rsidRPr="00286976" w:rsidRDefault="00286976" w:rsidP="00EC12E5">
            <w:pPr>
              <w:rPr>
                <w:rFonts w:ascii="Arial" w:hAnsi="Arial" w:cs="Arial"/>
                <w:sz w:val="20"/>
              </w:rPr>
            </w:pPr>
            <w:r w:rsidRPr="00286976">
              <w:rPr>
                <w:rFonts w:ascii="Arial" w:hAnsi="Arial" w:cs="Arial"/>
                <w:sz w:val="20"/>
              </w:rPr>
              <w:t>Reductions in achievement of phased additional inc0me targets - 20%</w:t>
            </w:r>
          </w:p>
        </w:tc>
        <w:tc>
          <w:tcPr>
            <w:tcW w:w="1500" w:type="dxa"/>
            <w:tcBorders>
              <w:top w:val="nil"/>
              <w:left w:val="nil"/>
              <w:bottom w:val="single" w:sz="4" w:space="0" w:color="auto"/>
              <w:right w:val="single" w:sz="4" w:space="0" w:color="auto"/>
            </w:tcBorders>
            <w:shd w:val="clear" w:color="auto" w:fill="auto"/>
            <w:hideMark/>
          </w:tcPr>
          <w:p w14:paraId="0AAAEE9F" w14:textId="77777777" w:rsidR="00286976" w:rsidRPr="00286976" w:rsidRDefault="00286976" w:rsidP="00EC12E5">
            <w:pPr>
              <w:rPr>
                <w:rFonts w:ascii="Arial" w:hAnsi="Arial" w:cs="Arial"/>
                <w:sz w:val="20"/>
              </w:rPr>
            </w:pPr>
            <w:r w:rsidRPr="00286976">
              <w:rPr>
                <w:rFonts w:ascii="Arial" w:hAnsi="Arial" w:cs="Arial"/>
                <w:sz w:val="20"/>
              </w:rPr>
              <w:t>IDEA</w:t>
            </w:r>
          </w:p>
        </w:tc>
        <w:tc>
          <w:tcPr>
            <w:tcW w:w="1012" w:type="dxa"/>
            <w:tcBorders>
              <w:top w:val="nil"/>
              <w:left w:val="nil"/>
              <w:bottom w:val="single" w:sz="4" w:space="0" w:color="auto"/>
              <w:right w:val="single" w:sz="4" w:space="0" w:color="auto"/>
            </w:tcBorders>
            <w:shd w:val="clear" w:color="auto" w:fill="auto"/>
            <w:hideMark/>
          </w:tcPr>
          <w:p w14:paraId="5A910481"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c>
          <w:tcPr>
            <w:tcW w:w="1012" w:type="dxa"/>
            <w:tcBorders>
              <w:top w:val="nil"/>
              <w:left w:val="nil"/>
              <w:bottom w:val="single" w:sz="4" w:space="0" w:color="auto"/>
              <w:right w:val="single" w:sz="4" w:space="0" w:color="auto"/>
            </w:tcBorders>
            <w:shd w:val="clear" w:color="auto" w:fill="auto"/>
            <w:hideMark/>
          </w:tcPr>
          <w:p w14:paraId="0866B24B" w14:textId="77777777" w:rsidR="00286976" w:rsidRPr="00286976" w:rsidRDefault="00286976" w:rsidP="00EC12E5">
            <w:pPr>
              <w:jc w:val="right"/>
              <w:rPr>
                <w:rFonts w:ascii="Arial" w:hAnsi="Arial" w:cs="Arial"/>
                <w:sz w:val="20"/>
              </w:rPr>
            </w:pPr>
            <w:r w:rsidRPr="00286976">
              <w:rPr>
                <w:rFonts w:ascii="Arial" w:hAnsi="Arial" w:cs="Arial"/>
                <w:sz w:val="20"/>
              </w:rPr>
              <w:t xml:space="preserve">200 </w:t>
            </w:r>
          </w:p>
        </w:tc>
        <w:tc>
          <w:tcPr>
            <w:tcW w:w="1012" w:type="dxa"/>
            <w:tcBorders>
              <w:top w:val="nil"/>
              <w:left w:val="nil"/>
              <w:bottom w:val="single" w:sz="4" w:space="0" w:color="auto"/>
              <w:right w:val="single" w:sz="4" w:space="0" w:color="auto"/>
            </w:tcBorders>
            <w:shd w:val="clear" w:color="auto" w:fill="auto"/>
            <w:hideMark/>
          </w:tcPr>
          <w:p w14:paraId="66D28A29" w14:textId="77777777" w:rsidR="00286976" w:rsidRPr="00286976" w:rsidRDefault="00286976" w:rsidP="00EC12E5">
            <w:pPr>
              <w:jc w:val="right"/>
              <w:rPr>
                <w:rFonts w:ascii="Arial" w:hAnsi="Arial" w:cs="Arial"/>
                <w:sz w:val="20"/>
              </w:rPr>
            </w:pPr>
            <w:r w:rsidRPr="00286976">
              <w:rPr>
                <w:rFonts w:ascii="Arial" w:hAnsi="Arial" w:cs="Arial"/>
                <w:sz w:val="20"/>
              </w:rPr>
              <w:t xml:space="preserve">300 </w:t>
            </w:r>
          </w:p>
        </w:tc>
      </w:tr>
      <w:tr w:rsidR="00286976" w:rsidRPr="00286976" w14:paraId="7428C973" w14:textId="77777777" w:rsidTr="00EC12E5">
        <w:trPr>
          <w:trHeight w:val="1785"/>
        </w:trPr>
        <w:tc>
          <w:tcPr>
            <w:tcW w:w="540" w:type="dxa"/>
            <w:tcBorders>
              <w:top w:val="nil"/>
              <w:left w:val="single" w:sz="4" w:space="0" w:color="auto"/>
              <w:bottom w:val="single" w:sz="4" w:space="0" w:color="auto"/>
              <w:right w:val="single" w:sz="4" w:space="0" w:color="auto"/>
            </w:tcBorders>
            <w:shd w:val="clear" w:color="auto" w:fill="auto"/>
            <w:hideMark/>
          </w:tcPr>
          <w:p w14:paraId="67A8334A" w14:textId="77777777" w:rsidR="00286976" w:rsidRPr="00286976" w:rsidRDefault="00286976" w:rsidP="00EC12E5">
            <w:pPr>
              <w:jc w:val="right"/>
              <w:rPr>
                <w:rFonts w:ascii="Arial" w:hAnsi="Arial" w:cs="Arial"/>
                <w:sz w:val="20"/>
              </w:rPr>
            </w:pPr>
            <w:r w:rsidRPr="00286976">
              <w:rPr>
                <w:rFonts w:ascii="Arial" w:hAnsi="Arial" w:cs="Arial"/>
                <w:sz w:val="20"/>
              </w:rPr>
              <w:t>4</w:t>
            </w:r>
          </w:p>
        </w:tc>
        <w:tc>
          <w:tcPr>
            <w:tcW w:w="4000" w:type="dxa"/>
            <w:tcBorders>
              <w:top w:val="nil"/>
              <w:left w:val="nil"/>
              <w:bottom w:val="single" w:sz="4" w:space="0" w:color="auto"/>
              <w:right w:val="single" w:sz="4" w:space="0" w:color="auto"/>
            </w:tcBorders>
            <w:shd w:val="clear" w:color="auto" w:fill="auto"/>
            <w:hideMark/>
          </w:tcPr>
          <w:p w14:paraId="3AC48C67" w14:textId="77777777" w:rsidR="00286976" w:rsidRPr="00286976" w:rsidRDefault="00286976" w:rsidP="00EC12E5">
            <w:pPr>
              <w:rPr>
                <w:rFonts w:ascii="Arial" w:hAnsi="Arial" w:cs="Arial"/>
                <w:sz w:val="20"/>
              </w:rPr>
            </w:pPr>
            <w:r w:rsidRPr="00286976">
              <w:rPr>
                <w:rFonts w:ascii="Arial" w:hAnsi="Arial" w:cs="Arial"/>
                <w:sz w:val="20"/>
              </w:rPr>
              <w:t>Possible further reductions in grant-funding - Net - Additional 5% per annum ( to 15% per annum)</w:t>
            </w:r>
          </w:p>
        </w:tc>
        <w:tc>
          <w:tcPr>
            <w:tcW w:w="1500" w:type="dxa"/>
            <w:tcBorders>
              <w:top w:val="nil"/>
              <w:left w:val="nil"/>
              <w:bottom w:val="single" w:sz="4" w:space="0" w:color="auto"/>
              <w:right w:val="single" w:sz="4" w:space="0" w:color="auto"/>
            </w:tcBorders>
            <w:shd w:val="clear" w:color="auto" w:fill="auto"/>
            <w:hideMark/>
          </w:tcPr>
          <w:p w14:paraId="214B2230"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nil"/>
              <w:left w:val="nil"/>
              <w:bottom w:val="nil"/>
              <w:right w:val="nil"/>
            </w:tcBorders>
            <w:shd w:val="clear" w:color="auto" w:fill="auto"/>
            <w:hideMark/>
          </w:tcPr>
          <w:p w14:paraId="5A6B4BF3" w14:textId="77777777" w:rsidR="00286976" w:rsidRPr="00286976" w:rsidRDefault="00286976" w:rsidP="00EC12E5">
            <w:pPr>
              <w:jc w:val="right"/>
              <w:rPr>
                <w:rFonts w:ascii="Arial" w:hAnsi="Arial" w:cs="Arial"/>
                <w:sz w:val="20"/>
              </w:rPr>
            </w:pPr>
            <w:r w:rsidRPr="00286976">
              <w:rPr>
                <w:rFonts w:ascii="Arial" w:hAnsi="Arial" w:cs="Arial"/>
                <w:sz w:val="20"/>
              </w:rPr>
              <w:t xml:space="preserve">50 </w:t>
            </w:r>
          </w:p>
        </w:tc>
        <w:tc>
          <w:tcPr>
            <w:tcW w:w="1012" w:type="dxa"/>
            <w:tcBorders>
              <w:top w:val="nil"/>
              <w:left w:val="single" w:sz="4" w:space="0" w:color="auto"/>
              <w:bottom w:val="single" w:sz="4" w:space="0" w:color="auto"/>
              <w:right w:val="single" w:sz="4" w:space="0" w:color="auto"/>
            </w:tcBorders>
            <w:shd w:val="clear" w:color="auto" w:fill="auto"/>
            <w:hideMark/>
          </w:tcPr>
          <w:p w14:paraId="614D922D"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c>
          <w:tcPr>
            <w:tcW w:w="1012" w:type="dxa"/>
            <w:tcBorders>
              <w:top w:val="nil"/>
              <w:left w:val="nil"/>
              <w:bottom w:val="single" w:sz="4" w:space="0" w:color="auto"/>
              <w:right w:val="single" w:sz="4" w:space="0" w:color="auto"/>
            </w:tcBorders>
            <w:shd w:val="clear" w:color="auto" w:fill="auto"/>
            <w:hideMark/>
          </w:tcPr>
          <w:p w14:paraId="77EDAD93" w14:textId="77777777" w:rsidR="00286976" w:rsidRPr="00286976" w:rsidRDefault="00286976" w:rsidP="00EC12E5">
            <w:pPr>
              <w:jc w:val="right"/>
              <w:rPr>
                <w:rFonts w:ascii="Arial" w:hAnsi="Arial" w:cs="Arial"/>
                <w:sz w:val="20"/>
              </w:rPr>
            </w:pPr>
            <w:r w:rsidRPr="00286976">
              <w:rPr>
                <w:rFonts w:ascii="Arial" w:hAnsi="Arial" w:cs="Arial"/>
                <w:sz w:val="20"/>
              </w:rPr>
              <w:t xml:space="preserve">150 </w:t>
            </w:r>
          </w:p>
        </w:tc>
      </w:tr>
      <w:tr w:rsidR="00286976" w:rsidRPr="00286976" w14:paraId="43BE7919" w14:textId="77777777" w:rsidTr="00EC12E5">
        <w:trPr>
          <w:trHeight w:val="1275"/>
        </w:trPr>
        <w:tc>
          <w:tcPr>
            <w:tcW w:w="540" w:type="dxa"/>
            <w:tcBorders>
              <w:top w:val="nil"/>
              <w:left w:val="single" w:sz="4" w:space="0" w:color="auto"/>
              <w:bottom w:val="single" w:sz="4" w:space="0" w:color="auto"/>
              <w:right w:val="single" w:sz="4" w:space="0" w:color="auto"/>
            </w:tcBorders>
            <w:shd w:val="clear" w:color="auto" w:fill="auto"/>
            <w:hideMark/>
          </w:tcPr>
          <w:p w14:paraId="5BC53417" w14:textId="77777777" w:rsidR="00286976" w:rsidRPr="00286976" w:rsidRDefault="00286976" w:rsidP="00EC12E5">
            <w:pPr>
              <w:jc w:val="right"/>
              <w:rPr>
                <w:rFonts w:ascii="Arial" w:hAnsi="Arial" w:cs="Arial"/>
                <w:sz w:val="20"/>
              </w:rPr>
            </w:pPr>
            <w:r w:rsidRPr="00286976">
              <w:rPr>
                <w:rFonts w:ascii="Arial" w:hAnsi="Arial" w:cs="Arial"/>
                <w:sz w:val="20"/>
              </w:rPr>
              <w:t>5</w:t>
            </w:r>
          </w:p>
        </w:tc>
        <w:tc>
          <w:tcPr>
            <w:tcW w:w="4000" w:type="dxa"/>
            <w:tcBorders>
              <w:top w:val="nil"/>
              <w:left w:val="nil"/>
              <w:bottom w:val="single" w:sz="4" w:space="0" w:color="auto"/>
              <w:right w:val="single" w:sz="4" w:space="0" w:color="auto"/>
            </w:tcBorders>
            <w:shd w:val="clear" w:color="auto" w:fill="auto"/>
            <w:hideMark/>
          </w:tcPr>
          <w:p w14:paraId="376C452D" w14:textId="77777777" w:rsidR="00286976" w:rsidRPr="00286976" w:rsidRDefault="00286976" w:rsidP="00EC12E5">
            <w:pPr>
              <w:rPr>
                <w:rFonts w:ascii="Arial" w:hAnsi="Arial" w:cs="Arial"/>
                <w:sz w:val="20"/>
              </w:rPr>
            </w:pPr>
            <w:r w:rsidRPr="00286976">
              <w:rPr>
                <w:rFonts w:ascii="Arial" w:hAnsi="Arial" w:cs="Arial"/>
                <w:sz w:val="20"/>
              </w:rPr>
              <w:t>LGA membership – 5 councils are currently on notice to withdraw from membership in 2016/17. The 2016/17 risk is assessed as being up to a £206k reduction in income.</w:t>
            </w:r>
            <w:r w:rsidRPr="00286976">
              <w:rPr>
                <w:rFonts w:ascii="Arial" w:hAnsi="Arial" w:cs="Arial"/>
                <w:sz w:val="20"/>
              </w:rPr>
              <w:br/>
            </w:r>
            <w:r w:rsidRPr="00286976">
              <w:rPr>
                <w:rFonts w:ascii="Arial" w:hAnsi="Arial" w:cs="Arial"/>
                <w:sz w:val="20"/>
              </w:rPr>
              <w:br/>
              <w:t xml:space="preserve">i.e. to Fire and Rescue = </w:t>
            </w:r>
            <w:proofErr w:type="spellStart"/>
            <w:r w:rsidRPr="00286976">
              <w:rPr>
                <w:rFonts w:ascii="Arial" w:hAnsi="Arial" w:cs="Arial"/>
                <w:sz w:val="20"/>
              </w:rPr>
              <w:t>approx</w:t>
            </w:r>
            <w:proofErr w:type="spellEnd"/>
            <w:r w:rsidRPr="00286976">
              <w:rPr>
                <w:rFonts w:ascii="Arial" w:hAnsi="Arial" w:cs="Arial"/>
                <w:sz w:val="20"/>
              </w:rPr>
              <w:t xml:space="preserve"> 3%</w:t>
            </w:r>
          </w:p>
        </w:tc>
        <w:tc>
          <w:tcPr>
            <w:tcW w:w="1500" w:type="dxa"/>
            <w:tcBorders>
              <w:top w:val="nil"/>
              <w:left w:val="nil"/>
              <w:bottom w:val="single" w:sz="4" w:space="0" w:color="auto"/>
              <w:right w:val="single" w:sz="4" w:space="0" w:color="auto"/>
            </w:tcBorders>
            <w:shd w:val="clear" w:color="auto" w:fill="auto"/>
            <w:hideMark/>
          </w:tcPr>
          <w:p w14:paraId="4FA69BA0"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single" w:sz="4" w:space="0" w:color="auto"/>
              <w:left w:val="nil"/>
              <w:bottom w:val="single" w:sz="4" w:space="0" w:color="auto"/>
              <w:right w:val="single" w:sz="4" w:space="0" w:color="auto"/>
            </w:tcBorders>
            <w:shd w:val="clear" w:color="auto" w:fill="auto"/>
            <w:hideMark/>
          </w:tcPr>
          <w:p w14:paraId="45AD1F84" w14:textId="77777777" w:rsidR="00286976" w:rsidRPr="00286976" w:rsidRDefault="00286976" w:rsidP="00EC12E5">
            <w:pPr>
              <w:jc w:val="right"/>
              <w:rPr>
                <w:rFonts w:ascii="Arial" w:hAnsi="Arial" w:cs="Arial"/>
                <w:sz w:val="20"/>
              </w:rPr>
            </w:pPr>
          </w:p>
        </w:tc>
        <w:tc>
          <w:tcPr>
            <w:tcW w:w="1012" w:type="dxa"/>
            <w:tcBorders>
              <w:top w:val="nil"/>
              <w:left w:val="nil"/>
              <w:bottom w:val="single" w:sz="4" w:space="0" w:color="auto"/>
              <w:right w:val="single" w:sz="4" w:space="0" w:color="auto"/>
            </w:tcBorders>
            <w:shd w:val="clear" w:color="auto" w:fill="auto"/>
            <w:hideMark/>
          </w:tcPr>
          <w:p w14:paraId="1D9EF55B" w14:textId="77777777" w:rsidR="00286976" w:rsidRPr="00286976" w:rsidRDefault="00286976" w:rsidP="00EC12E5">
            <w:pPr>
              <w:jc w:val="right"/>
              <w:rPr>
                <w:rFonts w:ascii="Arial" w:hAnsi="Arial" w:cs="Arial"/>
                <w:sz w:val="20"/>
              </w:rPr>
            </w:pPr>
            <w:r w:rsidRPr="00286976">
              <w:rPr>
                <w:rFonts w:ascii="Arial" w:hAnsi="Arial" w:cs="Arial"/>
                <w:sz w:val="20"/>
              </w:rPr>
              <w:t xml:space="preserve">300 </w:t>
            </w:r>
          </w:p>
        </w:tc>
        <w:tc>
          <w:tcPr>
            <w:tcW w:w="1012" w:type="dxa"/>
            <w:tcBorders>
              <w:top w:val="nil"/>
              <w:left w:val="nil"/>
              <w:bottom w:val="single" w:sz="4" w:space="0" w:color="auto"/>
              <w:right w:val="single" w:sz="4" w:space="0" w:color="auto"/>
            </w:tcBorders>
            <w:shd w:val="clear" w:color="auto" w:fill="auto"/>
            <w:hideMark/>
          </w:tcPr>
          <w:p w14:paraId="763754D5" w14:textId="77777777" w:rsidR="00286976" w:rsidRPr="00286976" w:rsidRDefault="00286976" w:rsidP="00EC12E5">
            <w:pPr>
              <w:jc w:val="right"/>
              <w:rPr>
                <w:rFonts w:ascii="Arial" w:hAnsi="Arial" w:cs="Arial"/>
                <w:sz w:val="20"/>
              </w:rPr>
            </w:pPr>
            <w:r w:rsidRPr="00286976">
              <w:rPr>
                <w:rFonts w:ascii="Arial" w:hAnsi="Arial" w:cs="Arial"/>
                <w:sz w:val="20"/>
              </w:rPr>
              <w:t xml:space="preserve">600 </w:t>
            </w:r>
          </w:p>
        </w:tc>
      </w:tr>
      <w:tr w:rsidR="00286976" w:rsidRPr="00286976" w14:paraId="17FC9831" w14:textId="77777777" w:rsidTr="00286976">
        <w:trPr>
          <w:trHeight w:val="1785"/>
        </w:trPr>
        <w:tc>
          <w:tcPr>
            <w:tcW w:w="540" w:type="dxa"/>
            <w:tcBorders>
              <w:top w:val="nil"/>
              <w:left w:val="single" w:sz="4" w:space="0" w:color="auto"/>
              <w:bottom w:val="single" w:sz="4" w:space="0" w:color="auto"/>
              <w:right w:val="single" w:sz="4" w:space="0" w:color="auto"/>
            </w:tcBorders>
            <w:shd w:val="clear" w:color="auto" w:fill="auto"/>
            <w:hideMark/>
          </w:tcPr>
          <w:p w14:paraId="7D388886" w14:textId="77777777" w:rsidR="00286976" w:rsidRPr="00286976" w:rsidRDefault="00286976" w:rsidP="00EC12E5">
            <w:pPr>
              <w:jc w:val="right"/>
              <w:rPr>
                <w:rFonts w:ascii="Arial" w:hAnsi="Arial" w:cs="Arial"/>
                <w:sz w:val="20"/>
              </w:rPr>
            </w:pPr>
            <w:r w:rsidRPr="00286976">
              <w:rPr>
                <w:rFonts w:ascii="Arial" w:hAnsi="Arial" w:cs="Arial"/>
                <w:sz w:val="20"/>
              </w:rPr>
              <w:t>6</w:t>
            </w:r>
          </w:p>
        </w:tc>
        <w:tc>
          <w:tcPr>
            <w:tcW w:w="4000" w:type="dxa"/>
            <w:tcBorders>
              <w:top w:val="nil"/>
              <w:left w:val="nil"/>
              <w:bottom w:val="single" w:sz="4" w:space="0" w:color="auto"/>
              <w:right w:val="single" w:sz="4" w:space="0" w:color="auto"/>
            </w:tcBorders>
            <w:shd w:val="clear" w:color="auto" w:fill="auto"/>
            <w:hideMark/>
          </w:tcPr>
          <w:p w14:paraId="7CDA71B7" w14:textId="77777777" w:rsidR="00286976" w:rsidRPr="00286976" w:rsidRDefault="00286976" w:rsidP="00EC12E5">
            <w:pPr>
              <w:rPr>
                <w:rFonts w:ascii="Arial" w:hAnsi="Arial" w:cs="Arial"/>
                <w:sz w:val="20"/>
              </w:rPr>
            </w:pPr>
            <w:r w:rsidRPr="00286976">
              <w:rPr>
                <w:rFonts w:ascii="Arial" w:hAnsi="Arial" w:cs="Arial"/>
                <w:sz w:val="20"/>
              </w:rPr>
              <w:t>A reduction in current 3rd party clients for back office services could lose up to £350k in contribution to LGA fixed overhead costs.</w:t>
            </w:r>
            <w:r w:rsidRPr="00286976">
              <w:rPr>
                <w:rFonts w:ascii="Arial" w:hAnsi="Arial" w:cs="Arial"/>
                <w:sz w:val="20"/>
              </w:rPr>
              <w:br/>
            </w:r>
            <w:r w:rsidRPr="00286976">
              <w:rPr>
                <w:rFonts w:ascii="Arial" w:hAnsi="Arial" w:cs="Arial"/>
                <w:sz w:val="20"/>
              </w:rPr>
              <w:br/>
              <w:t>Smaller Clients greatest risk</w:t>
            </w:r>
          </w:p>
        </w:tc>
        <w:tc>
          <w:tcPr>
            <w:tcW w:w="1500" w:type="dxa"/>
            <w:tcBorders>
              <w:top w:val="nil"/>
              <w:left w:val="nil"/>
              <w:bottom w:val="single" w:sz="4" w:space="0" w:color="auto"/>
              <w:right w:val="single" w:sz="4" w:space="0" w:color="auto"/>
            </w:tcBorders>
            <w:shd w:val="clear" w:color="auto" w:fill="auto"/>
            <w:hideMark/>
          </w:tcPr>
          <w:p w14:paraId="63496F31"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nil"/>
              <w:left w:val="nil"/>
              <w:bottom w:val="single" w:sz="4" w:space="0" w:color="auto"/>
              <w:right w:val="single" w:sz="4" w:space="0" w:color="auto"/>
            </w:tcBorders>
            <w:shd w:val="clear" w:color="auto" w:fill="FFFFFF" w:themeFill="background1"/>
            <w:hideMark/>
          </w:tcPr>
          <w:p w14:paraId="133B926E" w14:textId="77777777" w:rsidR="00286976" w:rsidRPr="00286976" w:rsidRDefault="00286976" w:rsidP="00EC12E5">
            <w:pPr>
              <w:jc w:val="right"/>
              <w:rPr>
                <w:rFonts w:ascii="Arial" w:hAnsi="Arial" w:cs="Arial"/>
                <w:sz w:val="20"/>
              </w:rPr>
            </w:pPr>
            <w:r w:rsidRPr="00286976">
              <w:rPr>
                <w:rFonts w:ascii="Arial" w:hAnsi="Arial" w:cs="Arial"/>
                <w:sz w:val="20"/>
              </w:rPr>
              <w:t xml:space="preserve">50 </w:t>
            </w:r>
          </w:p>
        </w:tc>
        <w:tc>
          <w:tcPr>
            <w:tcW w:w="1012" w:type="dxa"/>
            <w:tcBorders>
              <w:top w:val="nil"/>
              <w:left w:val="nil"/>
              <w:bottom w:val="single" w:sz="4" w:space="0" w:color="auto"/>
              <w:right w:val="single" w:sz="4" w:space="0" w:color="auto"/>
            </w:tcBorders>
            <w:shd w:val="clear" w:color="auto" w:fill="auto"/>
            <w:hideMark/>
          </w:tcPr>
          <w:p w14:paraId="6F6D4174"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c>
          <w:tcPr>
            <w:tcW w:w="1012" w:type="dxa"/>
            <w:tcBorders>
              <w:top w:val="nil"/>
              <w:left w:val="nil"/>
              <w:bottom w:val="single" w:sz="4" w:space="0" w:color="auto"/>
              <w:right w:val="single" w:sz="4" w:space="0" w:color="auto"/>
            </w:tcBorders>
            <w:shd w:val="clear" w:color="auto" w:fill="auto"/>
            <w:hideMark/>
          </w:tcPr>
          <w:p w14:paraId="4D74E185" w14:textId="77777777" w:rsidR="00286976" w:rsidRPr="00286976" w:rsidRDefault="00286976" w:rsidP="00EC12E5">
            <w:pPr>
              <w:jc w:val="right"/>
              <w:rPr>
                <w:rFonts w:ascii="Arial" w:hAnsi="Arial" w:cs="Arial"/>
                <w:sz w:val="20"/>
              </w:rPr>
            </w:pPr>
            <w:r w:rsidRPr="00286976">
              <w:rPr>
                <w:rFonts w:ascii="Arial" w:hAnsi="Arial" w:cs="Arial"/>
                <w:sz w:val="20"/>
              </w:rPr>
              <w:t xml:space="preserve">100 </w:t>
            </w:r>
          </w:p>
        </w:tc>
      </w:tr>
      <w:tr w:rsidR="00286976" w:rsidRPr="00286976" w14:paraId="22926E0D" w14:textId="77777777" w:rsidTr="00286976">
        <w:trPr>
          <w:trHeight w:val="765"/>
        </w:trPr>
        <w:tc>
          <w:tcPr>
            <w:tcW w:w="540" w:type="dxa"/>
            <w:tcBorders>
              <w:top w:val="nil"/>
              <w:left w:val="single" w:sz="4" w:space="0" w:color="auto"/>
              <w:bottom w:val="single" w:sz="4" w:space="0" w:color="auto"/>
              <w:right w:val="single" w:sz="4" w:space="0" w:color="auto"/>
            </w:tcBorders>
            <w:shd w:val="clear" w:color="auto" w:fill="auto"/>
            <w:hideMark/>
          </w:tcPr>
          <w:p w14:paraId="5067405B" w14:textId="77777777" w:rsidR="00286976" w:rsidRPr="00286976" w:rsidRDefault="00286976" w:rsidP="00EC12E5">
            <w:pPr>
              <w:jc w:val="right"/>
              <w:rPr>
                <w:rFonts w:ascii="Arial" w:hAnsi="Arial" w:cs="Arial"/>
                <w:sz w:val="20"/>
              </w:rPr>
            </w:pPr>
            <w:r w:rsidRPr="00286976">
              <w:rPr>
                <w:rFonts w:ascii="Arial" w:hAnsi="Arial" w:cs="Arial"/>
                <w:sz w:val="20"/>
              </w:rPr>
              <w:t>7</w:t>
            </w:r>
          </w:p>
        </w:tc>
        <w:tc>
          <w:tcPr>
            <w:tcW w:w="4000" w:type="dxa"/>
            <w:tcBorders>
              <w:top w:val="nil"/>
              <w:left w:val="nil"/>
              <w:bottom w:val="single" w:sz="4" w:space="0" w:color="auto"/>
              <w:right w:val="single" w:sz="4" w:space="0" w:color="auto"/>
            </w:tcBorders>
            <w:shd w:val="clear" w:color="auto" w:fill="auto"/>
            <w:hideMark/>
          </w:tcPr>
          <w:p w14:paraId="241CB183" w14:textId="77777777" w:rsidR="00286976" w:rsidRPr="00286976" w:rsidRDefault="00286976" w:rsidP="00EC12E5">
            <w:pPr>
              <w:rPr>
                <w:rFonts w:ascii="Arial" w:hAnsi="Arial" w:cs="Arial"/>
                <w:sz w:val="20"/>
              </w:rPr>
            </w:pPr>
            <w:r w:rsidRPr="00286976">
              <w:rPr>
                <w:rFonts w:ascii="Arial" w:hAnsi="Arial" w:cs="Arial"/>
                <w:sz w:val="20"/>
              </w:rPr>
              <w:t>A larger requirement for pension deficit contributions from the Merseyside pension fund than current annualised levels.</w:t>
            </w:r>
            <w:r w:rsidRPr="00286976">
              <w:rPr>
                <w:rFonts w:ascii="Arial" w:hAnsi="Arial" w:cs="Arial"/>
                <w:sz w:val="20"/>
              </w:rPr>
              <w:br/>
            </w:r>
            <w:r w:rsidRPr="00286976">
              <w:rPr>
                <w:rFonts w:ascii="Arial" w:hAnsi="Arial" w:cs="Arial"/>
                <w:sz w:val="20"/>
              </w:rPr>
              <w:br/>
              <w:t>Major driver for increase - current deficit payments didn't fully pick up impact of West Sussex transfer</w:t>
            </w:r>
          </w:p>
        </w:tc>
        <w:tc>
          <w:tcPr>
            <w:tcW w:w="1500" w:type="dxa"/>
            <w:tcBorders>
              <w:top w:val="nil"/>
              <w:left w:val="nil"/>
              <w:bottom w:val="single" w:sz="4" w:space="0" w:color="auto"/>
              <w:right w:val="single" w:sz="4" w:space="0" w:color="auto"/>
            </w:tcBorders>
            <w:shd w:val="clear" w:color="auto" w:fill="auto"/>
            <w:hideMark/>
          </w:tcPr>
          <w:p w14:paraId="7BD2A8E1" w14:textId="77777777" w:rsidR="00286976" w:rsidRPr="00286976" w:rsidRDefault="00286976" w:rsidP="00EC12E5">
            <w:pPr>
              <w:rPr>
                <w:rFonts w:ascii="Arial" w:hAnsi="Arial" w:cs="Arial"/>
                <w:sz w:val="20"/>
              </w:rPr>
            </w:pPr>
            <w:r w:rsidRPr="00286976">
              <w:rPr>
                <w:rFonts w:ascii="Arial" w:hAnsi="Arial" w:cs="Arial"/>
                <w:sz w:val="20"/>
              </w:rPr>
              <w:t>LGA</w:t>
            </w:r>
          </w:p>
        </w:tc>
        <w:tc>
          <w:tcPr>
            <w:tcW w:w="1012" w:type="dxa"/>
            <w:tcBorders>
              <w:top w:val="nil"/>
              <w:left w:val="nil"/>
              <w:bottom w:val="single" w:sz="4" w:space="0" w:color="auto"/>
              <w:right w:val="single" w:sz="4" w:space="0" w:color="auto"/>
            </w:tcBorders>
            <w:shd w:val="clear" w:color="auto" w:fill="FFFFFF" w:themeFill="background1"/>
            <w:hideMark/>
          </w:tcPr>
          <w:p w14:paraId="5BA5CC14" w14:textId="77777777" w:rsidR="00286976" w:rsidRPr="00286976" w:rsidRDefault="00286976" w:rsidP="00EC12E5">
            <w:pPr>
              <w:jc w:val="right"/>
              <w:rPr>
                <w:rFonts w:ascii="Arial" w:hAnsi="Arial" w:cs="Arial"/>
                <w:sz w:val="20"/>
              </w:rPr>
            </w:pPr>
            <w:r w:rsidRPr="00286976">
              <w:rPr>
                <w:rFonts w:ascii="Arial" w:hAnsi="Arial" w:cs="Arial"/>
                <w:sz w:val="20"/>
              </w:rPr>
              <w:t> </w:t>
            </w:r>
          </w:p>
        </w:tc>
        <w:tc>
          <w:tcPr>
            <w:tcW w:w="1012" w:type="dxa"/>
            <w:tcBorders>
              <w:top w:val="nil"/>
              <w:left w:val="nil"/>
              <w:bottom w:val="single" w:sz="4" w:space="0" w:color="auto"/>
              <w:right w:val="single" w:sz="4" w:space="0" w:color="auto"/>
            </w:tcBorders>
            <w:shd w:val="clear" w:color="auto" w:fill="auto"/>
            <w:hideMark/>
          </w:tcPr>
          <w:p w14:paraId="0292FD5A" w14:textId="77777777" w:rsidR="00286976" w:rsidRPr="00286976" w:rsidRDefault="00286976" w:rsidP="00EC12E5">
            <w:pPr>
              <w:jc w:val="right"/>
              <w:rPr>
                <w:rFonts w:ascii="Arial" w:hAnsi="Arial" w:cs="Arial"/>
                <w:sz w:val="20"/>
              </w:rPr>
            </w:pPr>
            <w:r w:rsidRPr="00286976">
              <w:rPr>
                <w:rFonts w:ascii="Arial" w:hAnsi="Arial" w:cs="Arial"/>
                <w:sz w:val="20"/>
              </w:rPr>
              <w:t xml:space="preserve">700 </w:t>
            </w:r>
          </w:p>
        </w:tc>
        <w:tc>
          <w:tcPr>
            <w:tcW w:w="1012" w:type="dxa"/>
            <w:tcBorders>
              <w:top w:val="nil"/>
              <w:left w:val="nil"/>
              <w:bottom w:val="single" w:sz="4" w:space="0" w:color="auto"/>
              <w:right w:val="single" w:sz="4" w:space="0" w:color="auto"/>
            </w:tcBorders>
            <w:shd w:val="clear" w:color="auto" w:fill="auto"/>
            <w:hideMark/>
          </w:tcPr>
          <w:p w14:paraId="5C0E1041" w14:textId="77777777" w:rsidR="00286976" w:rsidRPr="00286976" w:rsidRDefault="00286976" w:rsidP="00EC12E5">
            <w:pPr>
              <w:jc w:val="right"/>
              <w:rPr>
                <w:rFonts w:ascii="Arial" w:hAnsi="Arial" w:cs="Arial"/>
                <w:sz w:val="20"/>
              </w:rPr>
            </w:pPr>
            <w:r w:rsidRPr="00286976">
              <w:rPr>
                <w:rFonts w:ascii="Arial" w:hAnsi="Arial" w:cs="Arial"/>
                <w:sz w:val="20"/>
              </w:rPr>
              <w:t xml:space="preserve">700 </w:t>
            </w:r>
          </w:p>
        </w:tc>
      </w:tr>
      <w:tr w:rsidR="00286976" w:rsidRPr="00286976" w14:paraId="04B810D2" w14:textId="77777777" w:rsidTr="00EC12E5">
        <w:trPr>
          <w:trHeight w:val="510"/>
        </w:trPr>
        <w:tc>
          <w:tcPr>
            <w:tcW w:w="540" w:type="dxa"/>
            <w:tcBorders>
              <w:top w:val="nil"/>
              <w:left w:val="single" w:sz="4" w:space="0" w:color="auto"/>
              <w:bottom w:val="single" w:sz="4" w:space="0" w:color="auto"/>
              <w:right w:val="single" w:sz="4" w:space="0" w:color="auto"/>
            </w:tcBorders>
            <w:shd w:val="clear" w:color="auto" w:fill="auto"/>
            <w:hideMark/>
          </w:tcPr>
          <w:p w14:paraId="6694AA6F" w14:textId="77777777" w:rsidR="00286976" w:rsidRPr="00286976" w:rsidRDefault="00286976" w:rsidP="00EC12E5">
            <w:pPr>
              <w:jc w:val="right"/>
              <w:rPr>
                <w:rFonts w:ascii="Arial" w:hAnsi="Arial" w:cs="Arial"/>
                <w:sz w:val="20"/>
              </w:rPr>
            </w:pPr>
            <w:r w:rsidRPr="00286976">
              <w:rPr>
                <w:rFonts w:ascii="Arial" w:hAnsi="Arial" w:cs="Arial"/>
                <w:sz w:val="20"/>
              </w:rPr>
              <w:t>8</w:t>
            </w:r>
          </w:p>
        </w:tc>
        <w:tc>
          <w:tcPr>
            <w:tcW w:w="4000" w:type="dxa"/>
            <w:tcBorders>
              <w:top w:val="nil"/>
              <w:left w:val="nil"/>
              <w:bottom w:val="single" w:sz="4" w:space="0" w:color="auto"/>
              <w:right w:val="single" w:sz="4" w:space="0" w:color="auto"/>
            </w:tcBorders>
            <w:shd w:val="clear" w:color="auto" w:fill="auto"/>
            <w:hideMark/>
          </w:tcPr>
          <w:p w14:paraId="705B49A0" w14:textId="77777777" w:rsidR="00286976" w:rsidRPr="00286976" w:rsidRDefault="00286976" w:rsidP="00EC12E5">
            <w:pPr>
              <w:rPr>
                <w:rFonts w:ascii="Arial" w:hAnsi="Arial" w:cs="Arial"/>
                <w:sz w:val="20"/>
              </w:rPr>
            </w:pPr>
            <w:r w:rsidRPr="00286976">
              <w:rPr>
                <w:rFonts w:ascii="Arial" w:hAnsi="Arial" w:cs="Arial"/>
                <w:sz w:val="20"/>
              </w:rPr>
              <w:t>A larger requirement for pension deficit contributions from the Camden pension fund. - driven by latest deficit valuations</w:t>
            </w:r>
          </w:p>
        </w:tc>
        <w:tc>
          <w:tcPr>
            <w:tcW w:w="1500" w:type="dxa"/>
            <w:tcBorders>
              <w:top w:val="nil"/>
              <w:left w:val="nil"/>
              <w:bottom w:val="single" w:sz="4" w:space="0" w:color="auto"/>
              <w:right w:val="single" w:sz="4" w:space="0" w:color="auto"/>
            </w:tcBorders>
            <w:shd w:val="clear" w:color="auto" w:fill="auto"/>
            <w:hideMark/>
          </w:tcPr>
          <w:p w14:paraId="79246F24" w14:textId="77777777" w:rsidR="00286976" w:rsidRPr="00286976" w:rsidRDefault="00286976" w:rsidP="00EC12E5">
            <w:pPr>
              <w:rPr>
                <w:rFonts w:ascii="Arial" w:hAnsi="Arial" w:cs="Arial"/>
                <w:sz w:val="20"/>
              </w:rPr>
            </w:pPr>
            <w:r w:rsidRPr="00286976">
              <w:rPr>
                <w:rFonts w:ascii="Arial" w:hAnsi="Arial" w:cs="Arial"/>
                <w:sz w:val="20"/>
              </w:rPr>
              <w:t>IDEA</w:t>
            </w:r>
          </w:p>
        </w:tc>
        <w:tc>
          <w:tcPr>
            <w:tcW w:w="1012" w:type="dxa"/>
            <w:tcBorders>
              <w:top w:val="nil"/>
              <w:left w:val="nil"/>
              <w:bottom w:val="single" w:sz="4" w:space="0" w:color="auto"/>
              <w:right w:val="single" w:sz="4" w:space="0" w:color="auto"/>
            </w:tcBorders>
            <w:shd w:val="clear" w:color="auto" w:fill="auto"/>
            <w:hideMark/>
          </w:tcPr>
          <w:p w14:paraId="05C8A733" w14:textId="77777777" w:rsidR="00286976" w:rsidRPr="00286976" w:rsidRDefault="00286976" w:rsidP="00EC12E5">
            <w:pPr>
              <w:jc w:val="right"/>
              <w:rPr>
                <w:rFonts w:ascii="Arial" w:hAnsi="Arial" w:cs="Arial"/>
                <w:sz w:val="20"/>
              </w:rPr>
            </w:pPr>
            <w:r w:rsidRPr="00286976">
              <w:rPr>
                <w:rFonts w:ascii="Arial" w:hAnsi="Arial" w:cs="Arial"/>
                <w:sz w:val="20"/>
              </w:rPr>
              <w:t> </w:t>
            </w:r>
          </w:p>
        </w:tc>
        <w:tc>
          <w:tcPr>
            <w:tcW w:w="1012" w:type="dxa"/>
            <w:tcBorders>
              <w:top w:val="nil"/>
              <w:left w:val="nil"/>
              <w:bottom w:val="single" w:sz="4" w:space="0" w:color="auto"/>
              <w:right w:val="single" w:sz="4" w:space="0" w:color="auto"/>
            </w:tcBorders>
            <w:shd w:val="clear" w:color="auto" w:fill="auto"/>
            <w:hideMark/>
          </w:tcPr>
          <w:p w14:paraId="7DC31163" w14:textId="77777777" w:rsidR="00286976" w:rsidRPr="00286976" w:rsidRDefault="00286976" w:rsidP="00EC12E5">
            <w:pPr>
              <w:jc w:val="right"/>
              <w:rPr>
                <w:rFonts w:ascii="Arial" w:hAnsi="Arial" w:cs="Arial"/>
                <w:sz w:val="20"/>
              </w:rPr>
            </w:pPr>
            <w:r w:rsidRPr="00286976">
              <w:rPr>
                <w:rFonts w:ascii="Arial" w:hAnsi="Arial" w:cs="Arial"/>
                <w:sz w:val="20"/>
              </w:rPr>
              <w:t xml:space="preserve">2,400 </w:t>
            </w:r>
          </w:p>
        </w:tc>
        <w:tc>
          <w:tcPr>
            <w:tcW w:w="1012" w:type="dxa"/>
            <w:tcBorders>
              <w:top w:val="nil"/>
              <w:left w:val="nil"/>
              <w:bottom w:val="single" w:sz="4" w:space="0" w:color="auto"/>
              <w:right w:val="single" w:sz="4" w:space="0" w:color="auto"/>
            </w:tcBorders>
            <w:shd w:val="clear" w:color="auto" w:fill="auto"/>
            <w:hideMark/>
          </w:tcPr>
          <w:p w14:paraId="3F7EF634" w14:textId="77777777" w:rsidR="00286976" w:rsidRPr="00286976" w:rsidRDefault="00286976" w:rsidP="00EC12E5">
            <w:pPr>
              <w:jc w:val="right"/>
              <w:rPr>
                <w:rFonts w:ascii="Arial" w:hAnsi="Arial" w:cs="Arial"/>
                <w:sz w:val="20"/>
              </w:rPr>
            </w:pPr>
            <w:r w:rsidRPr="00286976">
              <w:rPr>
                <w:rFonts w:ascii="Arial" w:hAnsi="Arial" w:cs="Arial"/>
                <w:sz w:val="20"/>
              </w:rPr>
              <w:t xml:space="preserve">2,400 </w:t>
            </w:r>
          </w:p>
        </w:tc>
      </w:tr>
      <w:tr w:rsidR="00286976" w:rsidRPr="00286976" w14:paraId="75E31949" w14:textId="77777777" w:rsidTr="00EC12E5">
        <w:trPr>
          <w:trHeight w:val="510"/>
        </w:trPr>
        <w:tc>
          <w:tcPr>
            <w:tcW w:w="540" w:type="dxa"/>
            <w:tcBorders>
              <w:top w:val="nil"/>
              <w:left w:val="single" w:sz="4" w:space="0" w:color="auto"/>
              <w:bottom w:val="single" w:sz="4" w:space="0" w:color="auto"/>
              <w:right w:val="single" w:sz="4" w:space="0" w:color="auto"/>
            </w:tcBorders>
            <w:shd w:val="clear" w:color="auto" w:fill="auto"/>
            <w:hideMark/>
          </w:tcPr>
          <w:p w14:paraId="2469F94B" w14:textId="77777777" w:rsidR="00286976" w:rsidRPr="00286976" w:rsidRDefault="00286976" w:rsidP="00EC12E5">
            <w:pPr>
              <w:jc w:val="right"/>
              <w:rPr>
                <w:rFonts w:ascii="Arial" w:hAnsi="Arial" w:cs="Arial"/>
                <w:sz w:val="20"/>
              </w:rPr>
            </w:pPr>
            <w:r w:rsidRPr="00286976">
              <w:rPr>
                <w:rFonts w:ascii="Arial" w:hAnsi="Arial" w:cs="Arial"/>
                <w:sz w:val="20"/>
              </w:rPr>
              <w:t>9</w:t>
            </w:r>
          </w:p>
        </w:tc>
        <w:tc>
          <w:tcPr>
            <w:tcW w:w="4000" w:type="dxa"/>
            <w:tcBorders>
              <w:top w:val="nil"/>
              <w:left w:val="nil"/>
              <w:bottom w:val="single" w:sz="4" w:space="0" w:color="auto"/>
              <w:right w:val="single" w:sz="4" w:space="0" w:color="auto"/>
            </w:tcBorders>
            <w:shd w:val="clear" w:color="auto" w:fill="auto"/>
            <w:hideMark/>
          </w:tcPr>
          <w:p w14:paraId="108D8425" w14:textId="77777777" w:rsidR="00286976" w:rsidRPr="00286976" w:rsidRDefault="00286976" w:rsidP="00EC12E5">
            <w:pPr>
              <w:rPr>
                <w:rFonts w:ascii="Arial" w:hAnsi="Arial" w:cs="Arial"/>
                <w:sz w:val="20"/>
              </w:rPr>
            </w:pPr>
            <w:r w:rsidRPr="00286976">
              <w:rPr>
                <w:rFonts w:ascii="Arial" w:hAnsi="Arial" w:cs="Arial"/>
                <w:sz w:val="20"/>
              </w:rPr>
              <w:t>Delays in new tenants moving into Local Government House - each month</w:t>
            </w:r>
          </w:p>
        </w:tc>
        <w:tc>
          <w:tcPr>
            <w:tcW w:w="1500" w:type="dxa"/>
            <w:tcBorders>
              <w:top w:val="nil"/>
              <w:left w:val="nil"/>
              <w:bottom w:val="single" w:sz="4" w:space="0" w:color="auto"/>
              <w:right w:val="single" w:sz="4" w:space="0" w:color="auto"/>
            </w:tcBorders>
            <w:shd w:val="clear" w:color="auto" w:fill="auto"/>
            <w:hideMark/>
          </w:tcPr>
          <w:p w14:paraId="20134760" w14:textId="77777777" w:rsidR="00286976" w:rsidRPr="00286976" w:rsidRDefault="00286976" w:rsidP="00EC12E5">
            <w:pPr>
              <w:rPr>
                <w:rFonts w:ascii="Arial" w:hAnsi="Arial" w:cs="Arial"/>
                <w:sz w:val="20"/>
              </w:rPr>
            </w:pPr>
            <w:r w:rsidRPr="00286976">
              <w:rPr>
                <w:rFonts w:ascii="Arial" w:hAnsi="Arial" w:cs="Arial"/>
                <w:sz w:val="20"/>
              </w:rPr>
              <w:t>LGAP</w:t>
            </w:r>
          </w:p>
        </w:tc>
        <w:tc>
          <w:tcPr>
            <w:tcW w:w="1012" w:type="dxa"/>
            <w:tcBorders>
              <w:top w:val="nil"/>
              <w:left w:val="nil"/>
              <w:bottom w:val="single" w:sz="4" w:space="0" w:color="auto"/>
              <w:right w:val="single" w:sz="4" w:space="0" w:color="auto"/>
            </w:tcBorders>
            <w:shd w:val="clear" w:color="auto" w:fill="auto"/>
            <w:hideMark/>
          </w:tcPr>
          <w:p w14:paraId="1EA5EFBD" w14:textId="77777777" w:rsidR="00286976" w:rsidRPr="00286976" w:rsidRDefault="00286976" w:rsidP="00EC12E5">
            <w:pPr>
              <w:jc w:val="right"/>
              <w:rPr>
                <w:rFonts w:ascii="Arial" w:hAnsi="Arial" w:cs="Arial"/>
                <w:sz w:val="20"/>
              </w:rPr>
            </w:pPr>
            <w:r w:rsidRPr="00286976">
              <w:rPr>
                <w:rFonts w:ascii="Arial" w:hAnsi="Arial" w:cs="Arial"/>
                <w:sz w:val="20"/>
              </w:rPr>
              <w:t> </w:t>
            </w:r>
          </w:p>
        </w:tc>
        <w:tc>
          <w:tcPr>
            <w:tcW w:w="1012" w:type="dxa"/>
            <w:tcBorders>
              <w:top w:val="nil"/>
              <w:left w:val="nil"/>
              <w:bottom w:val="single" w:sz="4" w:space="0" w:color="auto"/>
              <w:right w:val="single" w:sz="4" w:space="0" w:color="auto"/>
            </w:tcBorders>
            <w:shd w:val="clear" w:color="auto" w:fill="auto"/>
            <w:hideMark/>
          </w:tcPr>
          <w:p w14:paraId="5EEAF289" w14:textId="77777777" w:rsidR="00286976" w:rsidRPr="00286976" w:rsidRDefault="00286976" w:rsidP="00EC12E5">
            <w:pPr>
              <w:jc w:val="right"/>
              <w:rPr>
                <w:rFonts w:ascii="Arial" w:hAnsi="Arial" w:cs="Arial"/>
                <w:sz w:val="20"/>
              </w:rPr>
            </w:pPr>
            <w:r w:rsidRPr="00286976">
              <w:rPr>
                <w:rFonts w:ascii="Arial" w:hAnsi="Arial" w:cs="Arial"/>
                <w:sz w:val="20"/>
              </w:rPr>
              <w:t xml:space="preserve">110 </w:t>
            </w:r>
          </w:p>
        </w:tc>
        <w:tc>
          <w:tcPr>
            <w:tcW w:w="1012" w:type="dxa"/>
            <w:tcBorders>
              <w:top w:val="nil"/>
              <w:left w:val="nil"/>
              <w:bottom w:val="single" w:sz="4" w:space="0" w:color="auto"/>
              <w:right w:val="single" w:sz="4" w:space="0" w:color="auto"/>
            </w:tcBorders>
            <w:shd w:val="clear" w:color="auto" w:fill="auto"/>
            <w:hideMark/>
          </w:tcPr>
          <w:p w14:paraId="7667598B" w14:textId="77777777" w:rsidR="00286976" w:rsidRPr="00286976" w:rsidRDefault="00286976" w:rsidP="00EC12E5">
            <w:pPr>
              <w:jc w:val="right"/>
              <w:rPr>
                <w:rFonts w:ascii="Arial" w:hAnsi="Arial" w:cs="Arial"/>
                <w:sz w:val="20"/>
              </w:rPr>
            </w:pPr>
            <w:r w:rsidRPr="00286976">
              <w:rPr>
                <w:rFonts w:ascii="Arial" w:hAnsi="Arial" w:cs="Arial"/>
                <w:sz w:val="20"/>
              </w:rPr>
              <w:t> </w:t>
            </w:r>
          </w:p>
        </w:tc>
      </w:tr>
    </w:tbl>
    <w:p w14:paraId="244E0606" w14:textId="77777777" w:rsidR="00286976" w:rsidRPr="00286976" w:rsidRDefault="00286976" w:rsidP="00286976">
      <w:pPr>
        <w:pStyle w:val="MainText"/>
        <w:rPr>
          <w:rFonts w:ascii="Arial" w:hAnsi="Arial" w:cs="Arial"/>
        </w:rPr>
      </w:pPr>
    </w:p>
    <w:p w14:paraId="2A9C687D" w14:textId="77777777" w:rsidR="001645A2" w:rsidRPr="00286976" w:rsidRDefault="001645A2">
      <w:pPr>
        <w:rPr>
          <w:rFonts w:ascii="Arial" w:hAnsi="Arial" w:cs="Arial"/>
        </w:rPr>
      </w:pPr>
    </w:p>
    <w:sectPr w:rsidR="001645A2" w:rsidRPr="00286976" w:rsidSect="00CD14AC">
      <w:headerReference w:type="default" r:id="rId14"/>
      <w:pgSz w:w="11907" w:h="16840" w:code="9"/>
      <w:pgMar w:top="1418" w:right="1134"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6273" w14:textId="77777777" w:rsidR="00C5034E" w:rsidRDefault="00C5034E">
      <w:r>
        <w:separator/>
      </w:r>
    </w:p>
  </w:endnote>
  <w:endnote w:type="continuationSeparator" w:id="0">
    <w:p w14:paraId="459CA43B" w14:textId="77777777" w:rsidR="00C5034E" w:rsidRDefault="00C5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56C0F" w14:textId="77777777" w:rsidR="00C5034E" w:rsidRDefault="00C5034E">
      <w:r>
        <w:separator/>
      </w:r>
    </w:p>
  </w:footnote>
  <w:footnote w:type="continuationSeparator" w:id="0">
    <w:p w14:paraId="325E3D7D" w14:textId="77777777" w:rsidR="00C5034E" w:rsidRDefault="00C5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9F62" w14:textId="77777777" w:rsidR="00C5034E" w:rsidRDefault="00C5034E" w:rsidP="00CD14AC">
    <w:pPr>
      <w:pStyle w:val="Header"/>
      <w:ind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8B2"/>
    <w:multiLevelType w:val="multilevel"/>
    <w:tmpl w:val="14B49B1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824740"/>
    <w:multiLevelType w:val="multilevel"/>
    <w:tmpl w:val="14B49B1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EE6F20"/>
    <w:multiLevelType w:val="hybridMultilevel"/>
    <w:tmpl w:val="FC9A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9B08BF"/>
    <w:multiLevelType w:val="hybridMultilevel"/>
    <w:tmpl w:val="54D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76644"/>
    <w:multiLevelType w:val="multilevel"/>
    <w:tmpl w:val="9C38AE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047895"/>
    <w:multiLevelType w:val="multilevel"/>
    <w:tmpl w:val="9C38AE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2F"/>
    <w:rsid w:val="000041A1"/>
    <w:rsid w:val="00065F42"/>
    <w:rsid w:val="00077596"/>
    <w:rsid w:val="00087DB6"/>
    <w:rsid w:val="000B2252"/>
    <w:rsid w:val="000B5EBB"/>
    <w:rsid w:val="000C1BD6"/>
    <w:rsid w:val="000F2D1C"/>
    <w:rsid w:val="00117358"/>
    <w:rsid w:val="00142BED"/>
    <w:rsid w:val="001645A2"/>
    <w:rsid w:val="001806B5"/>
    <w:rsid w:val="001912C9"/>
    <w:rsid w:val="001E1C43"/>
    <w:rsid w:val="00204CB6"/>
    <w:rsid w:val="00215EAB"/>
    <w:rsid w:val="0027305B"/>
    <w:rsid w:val="00276EF7"/>
    <w:rsid w:val="002822E5"/>
    <w:rsid w:val="00286976"/>
    <w:rsid w:val="00312217"/>
    <w:rsid w:val="00327056"/>
    <w:rsid w:val="00383BD8"/>
    <w:rsid w:val="003938FF"/>
    <w:rsid w:val="0039433D"/>
    <w:rsid w:val="00395230"/>
    <w:rsid w:val="003B60F3"/>
    <w:rsid w:val="003D7751"/>
    <w:rsid w:val="00404461"/>
    <w:rsid w:val="00453AD2"/>
    <w:rsid w:val="00485B2A"/>
    <w:rsid w:val="004A23C4"/>
    <w:rsid w:val="004B374C"/>
    <w:rsid w:val="004C39A8"/>
    <w:rsid w:val="0050263A"/>
    <w:rsid w:val="00504CB5"/>
    <w:rsid w:val="00510163"/>
    <w:rsid w:val="00543593"/>
    <w:rsid w:val="0057024E"/>
    <w:rsid w:val="005867E0"/>
    <w:rsid w:val="005A3DAD"/>
    <w:rsid w:val="00620D41"/>
    <w:rsid w:val="00622E8A"/>
    <w:rsid w:val="0065272B"/>
    <w:rsid w:val="00656083"/>
    <w:rsid w:val="00685F99"/>
    <w:rsid w:val="00690AF5"/>
    <w:rsid w:val="006E020E"/>
    <w:rsid w:val="007004DC"/>
    <w:rsid w:val="007027B9"/>
    <w:rsid w:val="007049A2"/>
    <w:rsid w:val="00714759"/>
    <w:rsid w:val="0073577E"/>
    <w:rsid w:val="00762AB3"/>
    <w:rsid w:val="0077558A"/>
    <w:rsid w:val="007B5A74"/>
    <w:rsid w:val="007D076B"/>
    <w:rsid w:val="00810537"/>
    <w:rsid w:val="00810BBC"/>
    <w:rsid w:val="00897970"/>
    <w:rsid w:val="008C3E88"/>
    <w:rsid w:val="008E7592"/>
    <w:rsid w:val="009E5733"/>
    <w:rsid w:val="009F2767"/>
    <w:rsid w:val="009F2FA7"/>
    <w:rsid w:val="00A30EE1"/>
    <w:rsid w:val="00A341D4"/>
    <w:rsid w:val="00B665BF"/>
    <w:rsid w:val="00B73AE0"/>
    <w:rsid w:val="00B90F7E"/>
    <w:rsid w:val="00BB72E0"/>
    <w:rsid w:val="00BD42FC"/>
    <w:rsid w:val="00C05DFE"/>
    <w:rsid w:val="00C33D64"/>
    <w:rsid w:val="00C5034E"/>
    <w:rsid w:val="00C9664D"/>
    <w:rsid w:val="00CB5464"/>
    <w:rsid w:val="00CD14AC"/>
    <w:rsid w:val="00D16F2F"/>
    <w:rsid w:val="00D21012"/>
    <w:rsid w:val="00D62AF7"/>
    <w:rsid w:val="00D678D4"/>
    <w:rsid w:val="00D961C6"/>
    <w:rsid w:val="00DC5D29"/>
    <w:rsid w:val="00DF285D"/>
    <w:rsid w:val="00E10608"/>
    <w:rsid w:val="00E12F52"/>
    <w:rsid w:val="00E31C6B"/>
    <w:rsid w:val="00E34FBD"/>
    <w:rsid w:val="00E3515A"/>
    <w:rsid w:val="00E474E9"/>
    <w:rsid w:val="00E668E5"/>
    <w:rsid w:val="00E74984"/>
    <w:rsid w:val="00EC12E5"/>
    <w:rsid w:val="00ED5EEB"/>
    <w:rsid w:val="00F01665"/>
    <w:rsid w:val="00F04ABB"/>
    <w:rsid w:val="00F417A4"/>
    <w:rsid w:val="00F500B5"/>
    <w:rsid w:val="00F50C9D"/>
    <w:rsid w:val="00F55C64"/>
    <w:rsid w:val="00F7262F"/>
    <w:rsid w:val="00F8280D"/>
    <w:rsid w:val="00F8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9E23"/>
  <w15:chartTrackingRefBased/>
  <w15:docId w15:val="{77BB12EE-CF14-48E6-90D5-505393F3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5A"/>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15A"/>
    <w:pPr>
      <w:tabs>
        <w:tab w:val="center" w:pos="4153"/>
        <w:tab w:val="right" w:pos="8306"/>
      </w:tabs>
    </w:pPr>
  </w:style>
  <w:style w:type="character" w:customStyle="1" w:styleId="HeaderChar">
    <w:name w:val="Header Char"/>
    <w:basedOn w:val="DefaultParagraphFont"/>
    <w:link w:val="Header"/>
    <w:rsid w:val="00E3515A"/>
    <w:rPr>
      <w:rFonts w:ascii="Frutiger 45 Light" w:eastAsia="Times New Roman" w:hAnsi="Frutiger 45 Light" w:cs="Times New Roman"/>
      <w:szCs w:val="20"/>
      <w:lang w:eastAsia="en-GB"/>
    </w:rPr>
  </w:style>
  <w:style w:type="paragraph" w:customStyle="1" w:styleId="MainText">
    <w:name w:val="Main Text"/>
    <w:basedOn w:val="Normal"/>
    <w:link w:val="MainTextChar"/>
    <w:rsid w:val="00CD14AC"/>
    <w:pPr>
      <w:spacing w:after="120" w:line="280" w:lineRule="exact"/>
    </w:pPr>
  </w:style>
  <w:style w:type="paragraph" w:styleId="ListParagraph">
    <w:name w:val="List Paragraph"/>
    <w:basedOn w:val="Normal"/>
    <w:uiPriority w:val="34"/>
    <w:qFormat/>
    <w:rsid w:val="00CD14AC"/>
    <w:pPr>
      <w:spacing w:after="120"/>
      <w:ind w:left="720"/>
    </w:pPr>
    <w:rPr>
      <w:rFonts w:asciiTheme="minorHAnsi" w:hAnsiTheme="minorHAnsi"/>
    </w:rPr>
  </w:style>
  <w:style w:type="paragraph" w:customStyle="1" w:styleId="LGAItemNoHeading">
    <w:name w:val="LGA Item No Heading"/>
    <w:basedOn w:val="MainText"/>
    <w:rsid w:val="00D16F2F"/>
    <w:pPr>
      <w:spacing w:before="600" w:after="240"/>
    </w:pPr>
    <w:rPr>
      <w:rFonts w:ascii="Frutiger 55 Roman" w:hAnsi="Frutiger 55 Roman"/>
      <w:b/>
      <w:sz w:val="32"/>
    </w:rPr>
  </w:style>
  <w:style w:type="character" w:styleId="Hyperlink">
    <w:name w:val="Hyperlink"/>
    <w:basedOn w:val="DefaultParagraphFont"/>
    <w:rsid w:val="00D16F2F"/>
    <w:rPr>
      <w:color w:val="0000FF"/>
      <w:u w:val="single"/>
    </w:rPr>
  </w:style>
  <w:style w:type="table" w:styleId="TableGrid">
    <w:name w:val="Table Grid"/>
    <w:basedOn w:val="TableNormal"/>
    <w:uiPriority w:val="59"/>
    <w:rsid w:val="00D16F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14AC"/>
    <w:pPr>
      <w:tabs>
        <w:tab w:val="center" w:pos="4513"/>
        <w:tab w:val="right" w:pos="9026"/>
      </w:tabs>
    </w:pPr>
  </w:style>
  <w:style w:type="character" w:customStyle="1" w:styleId="FooterChar">
    <w:name w:val="Footer Char"/>
    <w:basedOn w:val="DefaultParagraphFont"/>
    <w:link w:val="Footer"/>
    <w:uiPriority w:val="99"/>
    <w:rsid w:val="00CD14AC"/>
    <w:rPr>
      <w:rFonts w:ascii="Frutiger 45 Light" w:eastAsia="Times New Roman" w:hAnsi="Frutiger 45 Light" w:cs="Times New Roman"/>
      <w:szCs w:val="20"/>
      <w:lang w:eastAsia="en-GB"/>
    </w:rPr>
  </w:style>
  <w:style w:type="paragraph" w:styleId="NoSpacing">
    <w:name w:val="No Spacing"/>
    <w:basedOn w:val="Normal"/>
    <w:uiPriority w:val="1"/>
    <w:qFormat/>
    <w:rsid w:val="007027B9"/>
    <w:rPr>
      <w:rFonts w:ascii="Calibri" w:eastAsiaTheme="minorHAnsi" w:hAnsi="Calibri"/>
      <w:szCs w:val="22"/>
      <w:lang w:eastAsia="en-US"/>
    </w:rPr>
  </w:style>
  <w:style w:type="character" w:styleId="CommentReference">
    <w:name w:val="annotation reference"/>
    <w:basedOn w:val="DefaultParagraphFont"/>
    <w:uiPriority w:val="99"/>
    <w:semiHidden/>
    <w:unhideWhenUsed/>
    <w:rsid w:val="00383BD8"/>
    <w:rPr>
      <w:sz w:val="16"/>
      <w:szCs w:val="16"/>
    </w:rPr>
  </w:style>
  <w:style w:type="paragraph" w:styleId="CommentText">
    <w:name w:val="annotation text"/>
    <w:basedOn w:val="Normal"/>
    <w:link w:val="CommentTextChar"/>
    <w:uiPriority w:val="99"/>
    <w:semiHidden/>
    <w:unhideWhenUsed/>
    <w:rsid w:val="00383BD8"/>
    <w:rPr>
      <w:sz w:val="20"/>
    </w:rPr>
  </w:style>
  <w:style w:type="character" w:customStyle="1" w:styleId="CommentTextChar">
    <w:name w:val="Comment Text Char"/>
    <w:basedOn w:val="DefaultParagraphFont"/>
    <w:link w:val="CommentText"/>
    <w:uiPriority w:val="99"/>
    <w:semiHidden/>
    <w:rsid w:val="00383BD8"/>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3BD8"/>
    <w:rPr>
      <w:b/>
      <w:bCs/>
    </w:rPr>
  </w:style>
  <w:style w:type="character" w:customStyle="1" w:styleId="CommentSubjectChar">
    <w:name w:val="Comment Subject Char"/>
    <w:basedOn w:val="CommentTextChar"/>
    <w:link w:val="CommentSubject"/>
    <w:uiPriority w:val="99"/>
    <w:semiHidden/>
    <w:rsid w:val="00383BD8"/>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83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D8"/>
    <w:rPr>
      <w:rFonts w:ascii="Segoe UI" w:eastAsia="Times New Roman" w:hAnsi="Segoe UI" w:cs="Segoe UI"/>
      <w:sz w:val="18"/>
      <w:szCs w:val="18"/>
      <w:lang w:eastAsia="en-GB"/>
    </w:rPr>
  </w:style>
  <w:style w:type="character" w:customStyle="1" w:styleId="MainTextChar">
    <w:name w:val="Main Text Char"/>
    <w:link w:val="MainText"/>
    <w:rsid w:val="0028697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6872">
      <w:bodyDiv w:val="1"/>
      <w:marLeft w:val="0"/>
      <w:marRight w:val="0"/>
      <w:marTop w:val="0"/>
      <w:marBottom w:val="0"/>
      <w:divBdr>
        <w:top w:val="none" w:sz="0" w:space="0" w:color="auto"/>
        <w:left w:val="none" w:sz="0" w:space="0" w:color="auto"/>
        <w:bottom w:val="none" w:sz="0" w:space="0" w:color="auto"/>
        <w:right w:val="none" w:sz="0" w:space="0" w:color="auto"/>
      </w:divBdr>
    </w:div>
    <w:div w:id="739451282">
      <w:bodyDiv w:val="1"/>
      <w:marLeft w:val="0"/>
      <w:marRight w:val="0"/>
      <w:marTop w:val="0"/>
      <w:marBottom w:val="0"/>
      <w:divBdr>
        <w:top w:val="none" w:sz="0" w:space="0" w:color="auto"/>
        <w:left w:val="none" w:sz="0" w:space="0" w:color="auto"/>
        <w:bottom w:val="none" w:sz="0" w:space="0" w:color="auto"/>
        <w:right w:val="none" w:sz="0" w:space="0" w:color="auto"/>
      </w:divBdr>
    </w:div>
    <w:div w:id="948657796">
      <w:bodyDiv w:val="1"/>
      <w:marLeft w:val="0"/>
      <w:marRight w:val="0"/>
      <w:marTop w:val="0"/>
      <w:marBottom w:val="0"/>
      <w:divBdr>
        <w:top w:val="none" w:sz="0" w:space="0" w:color="auto"/>
        <w:left w:val="none" w:sz="0" w:space="0" w:color="auto"/>
        <w:bottom w:val="none" w:sz="0" w:space="0" w:color="auto"/>
        <w:right w:val="none" w:sz="0" w:space="0" w:color="auto"/>
      </w:divBdr>
    </w:div>
    <w:div w:id="15944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5E87-A9DD-463D-8C98-127B407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F91B18EC</Template>
  <TotalTime>0</TotalTime>
  <Pages>13</Pages>
  <Words>3029</Words>
  <Characters>17270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Brack</dc:creator>
  <cp:keywords/>
  <dc:description/>
  <cp:lastModifiedBy>Paul Goodchild</cp:lastModifiedBy>
  <cp:revision>2</cp:revision>
  <dcterms:created xsi:type="dcterms:W3CDTF">2016-02-25T15:23:00Z</dcterms:created>
  <dcterms:modified xsi:type="dcterms:W3CDTF">2016-02-25T15:23:00Z</dcterms:modified>
</cp:coreProperties>
</file>